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CD2" w14:textId="77777777" w:rsidR="009F092C" w:rsidRPr="009F092C" w:rsidRDefault="009F092C" w:rsidP="004625F7">
      <w:pPr>
        <w:spacing w:line="276" w:lineRule="auto"/>
        <w:jc w:val="center"/>
        <w:rPr>
          <w:color w:val="0070C0"/>
          <w:sz w:val="36"/>
          <w:lang w:val="pt-BR"/>
        </w:rPr>
      </w:pPr>
      <w:r w:rsidRPr="009F092C">
        <w:rPr>
          <w:color w:val="0070C0"/>
          <w:sz w:val="36"/>
          <w:lang w:val="pt-BR"/>
        </w:rPr>
        <w:t>Perguntas e Respostas</w:t>
      </w:r>
    </w:p>
    <w:p w14:paraId="0C4652C0" w14:textId="77777777" w:rsidR="009F092C" w:rsidRDefault="009F092C" w:rsidP="004625F7">
      <w:pPr>
        <w:spacing w:line="276" w:lineRule="auto"/>
        <w:jc w:val="center"/>
        <w:rPr>
          <w:color w:val="0070C0"/>
          <w:sz w:val="36"/>
          <w:lang w:val="pt-BR"/>
        </w:rPr>
      </w:pPr>
      <w:r w:rsidRPr="009F092C">
        <w:rPr>
          <w:color w:val="0070C0"/>
          <w:sz w:val="36"/>
          <w:lang w:val="pt-BR"/>
        </w:rPr>
        <w:t>Sistema de Micro e Mini Geração Distribuída</w:t>
      </w:r>
    </w:p>
    <w:p w14:paraId="5AA98A15" w14:textId="58036C08" w:rsidR="00FB70BA" w:rsidRDefault="00FB70BA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Como são classificados os sistemas de Geração Distribuída?</w:t>
      </w:r>
      <w:r w:rsidR="00351AAF">
        <w:rPr>
          <w:color w:val="FF0000"/>
        </w:rPr>
        <w:t xml:space="preserve"> </w:t>
      </w:r>
    </w:p>
    <w:p w14:paraId="2221AEAA" w14:textId="77777777" w:rsidR="00FB70BA" w:rsidRDefault="00FB70BA" w:rsidP="00E00060">
      <w:pPr>
        <w:spacing w:line="276" w:lineRule="auto"/>
        <w:jc w:val="both"/>
        <w:rPr>
          <w:lang w:val="pt-BR"/>
        </w:rPr>
      </w:pPr>
      <w:r w:rsidRPr="00053AB6">
        <w:rPr>
          <w:lang w:val="pt-BR"/>
        </w:rPr>
        <w:t>Em conformidade com a Resolução Normativa ANEE</w:t>
      </w:r>
      <w:r>
        <w:rPr>
          <w:lang w:val="pt-BR"/>
        </w:rPr>
        <w:t>L 482/2</w:t>
      </w:r>
      <w:r w:rsidR="00367C85">
        <w:rPr>
          <w:lang w:val="pt-BR"/>
        </w:rPr>
        <w:t>0</w:t>
      </w:r>
      <w:r>
        <w:rPr>
          <w:lang w:val="pt-BR"/>
        </w:rPr>
        <w:t>12,</w:t>
      </w:r>
      <w:r w:rsidRPr="00053AB6">
        <w:rPr>
          <w:lang w:val="pt-BR"/>
        </w:rPr>
        <w:t xml:space="preserve"> temos as seguintes definições:</w:t>
      </w:r>
    </w:p>
    <w:p w14:paraId="2052D1E8" w14:textId="5DDB86D8" w:rsidR="00FB70BA" w:rsidRPr="00053AB6" w:rsidRDefault="001E568C" w:rsidP="00E00060">
      <w:pPr>
        <w:spacing w:line="276" w:lineRule="auto"/>
        <w:jc w:val="both"/>
        <w:rPr>
          <w:lang w:val="pt-BR"/>
        </w:rPr>
      </w:pPr>
      <w:r w:rsidRPr="00E00060">
        <w:rPr>
          <w:b/>
          <w:lang w:val="pt-BR"/>
        </w:rPr>
        <w:t>Mi</w:t>
      </w:r>
      <w:r w:rsidR="00FB70BA" w:rsidRPr="00E00060">
        <w:rPr>
          <w:b/>
          <w:lang w:val="pt-BR"/>
        </w:rPr>
        <w:t>crogeração distribuída:</w:t>
      </w:r>
      <w:r w:rsidR="00FB70BA" w:rsidRPr="00053AB6">
        <w:rPr>
          <w:lang w:val="pt-BR"/>
        </w:rPr>
        <w:t xml:space="preserve"> central geradora de energia elétrica, com potência instalada menor ou igual a 75 kW e que utilize cogeração qualificada, conforme regulamentação da ANEEL, ou fontes renováveis de energia elétrica, conectada na rede de distribuição por meio de instalações de unidades consumidoras; </w:t>
      </w:r>
    </w:p>
    <w:p w14:paraId="244B879A" w14:textId="77777777" w:rsidR="00FB70BA" w:rsidRPr="00053AB6" w:rsidRDefault="00FB70BA" w:rsidP="00E00060">
      <w:pPr>
        <w:spacing w:line="276" w:lineRule="auto"/>
        <w:jc w:val="both"/>
        <w:rPr>
          <w:lang w:val="pt-BR"/>
        </w:rPr>
      </w:pPr>
      <w:r w:rsidRPr="00053AB6">
        <w:rPr>
          <w:lang w:val="pt-BR"/>
        </w:rPr>
        <w:t>Sendo assim</w:t>
      </w:r>
      <w:r>
        <w:rPr>
          <w:lang w:val="pt-BR"/>
        </w:rPr>
        <w:t>,</w:t>
      </w:r>
      <w:r w:rsidRPr="00053AB6">
        <w:rPr>
          <w:lang w:val="pt-BR"/>
        </w:rPr>
        <w:t xml:space="preserve"> casos de microgeração poderão ser conectados na rede BT ou MT, dependendo da disponibilidade da rede da distribuidora e sendo definida pela mesma, como dispostas no artigo 13 da Resolução da ANEEL nº 414</w:t>
      </w:r>
      <w:r>
        <w:rPr>
          <w:lang w:val="pt-BR"/>
        </w:rPr>
        <w:t>/2010</w:t>
      </w:r>
      <w:r w:rsidRPr="00053AB6">
        <w:rPr>
          <w:lang w:val="pt-BR"/>
        </w:rPr>
        <w:t>.</w:t>
      </w:r>
    </w:p>
    <w:p w14:paraId="44C77680" w14:textId="3A36A818" w:rsidR="00FB70BA" w:rsidRPr="00053AB6" w:rsidRDefault="001E568C" w:rsidP="00E00060">
      <w:pPr>
        <w:spacing w:line="276" w:lineRule="auto"/>
        <w:jc w:val="both"/>
        <w:rPr>
          <w:lang w:val="pt-BR"/>
        </w:rPr>
      </w:pPr>
      <w:r w:rsidRPr="00E00060">
        <w:rPr>
          <w:b/>
          <w:lang w:val="pt-BR"/>
        </w:rPr>
        <w:t>M</w:t>
      </w:r>
      <w:r w:rsidR="00FB70BA" w:rsidRPr="00E00060">
        <w:rPr>
          <w:b/>
          <w:lang w:val="pt-BR"/>
        </w:rPr>
        <w:t>inigeração distribuída</w:t>
      </w:r>
      <w:r w:rsidR="00FB70BA" w:rsidRPr="00053AB6">
        <w:rPr>
          <w:lang w:val="pt-BR"/>
        </w:rPr>
        <w:t xml:space="preserve">: central geradora de energia elétrica, com potência instalada superior a 75 kW e menor ou igual a 5MW e que utilize cogeração qualificada, conforme regulamentação da ANEEL, ou fontes renováveis de energia elétrica, conectada na rede de distribuição por meio de instalações de unidades consumidoras; </w:t>
      </w:r>
    </w:p>
    <w:p w14:paraId="3319EFE5" w14:textId="77777777" w:rsidR="00FB70BA" w:rsidRDefault="00FB70BA" w:rsidP="00E00060">
      <w:pPr>
        <w:spacing w:line="276" w:lineRule="auto"/>
        <w:jc w:val="both"/>
        <w:rPr>
          <w:lang w:val="pt-BR"/>
        </w:rPr>
      </w:pPr>
      <w:r w:rsidRPr="00053AB6">
        <w:rPr>
          <w:lang w:val="pt-BR"/>
        </w:rPr>
        <w:t>Sendo assim</w:t>
      </w:r>
      <w:r>
        <w:rPr>
          <w:lang w:val="pt-BR"/>
        </w:rPr>
        <w:t>,</w:t>
      </w:r>
      <w:r w:rsidRPr="00053AB6">
        <w:rPr>
          <w:lang w:val="pt-BR"/>
        </w:rPr>
        <w:t xml:space="preserve"> casos de minigeração poderão ser conectados na rede MT ou AT, dependendo da disponibilidade da rede da distribuidora e sendo definida pela mesma, como dispostas no artigo 13 da Resolução da ANEEL nº 414.</w:t>
      </w:r>
    </w:p>
    <w:p w14:paraId="3B4F21A2" w14:textId="2FB61BA5" w:rsidR="00D5668C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 xml:space="preserve">Qual o procedimento para entrar com um projeto de Micro/Minigeração – MMGD, junto à </w:t>
      </w:r>
      <w:r w:rsidR="00EE16D1">
        <w:t>CPFL</w:t>
      </w:r>
      <w:r>
        <w:t>?</w:t>
      </w:r>
    </w:p>
    <w:p w14:paraId="7FDB45F7" w14:textId="77777777" w:rsidR="00857E4F" w:rsidRPr="009A7243" w:rsidRDefault="00857E4F" w:rsidP="00857E4F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Primeiramente é necessário que haja um responsável técnico que possua cadastro ativo junto ao site de Projetos Particulares https://projetosparticulares.cpfl.com.br.</w:t>
      </w:r>
    </w:p>
    <w:p w14:paraId="1A180187" w14:textId="77777777" w:rsidR="00857E4F" w:rsidRPr="009A7243" w:rsidRDefault="00857E4F" w:rsidP="00857E4F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 xml:space="preserve">Esse profissional vai apresentar o projeto de Micro ou Minigeração, anexando toda a documentação necessária para cada caso, conforme consta </w:t>
      </w:r>
      <w:r w:rsidRPr="009A7243">
        <w:rPr>
          <w:b/>
          <w:bCs/>
          <w:lang w:val="pt-BR"/>
        </w:rPr>
        <w:t>GED 15303 - Conexão de Micro e Minigeração Distribuída sob Sistema de Compensação de Energia Elétrica</w:t>
      </w:r>
      <w:r w:rsidRPr="009A7243">
        <w:rPr>
          <w:lang w:val="pt-BR"/>
        </w:rPr>
        <w:t>, disponível em nossa página de normas técnicas.</w:t>
      </w:r>
    </w:p>
    <w:p w14:paraId="25FF67FE" w14:textId="77777777" w:rsidR="00857E4F" w:rsidRPr="009A7243" w:rsidRDefault="00857E4F" w:rsidP="00857E4F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 xml:space="preserve">Esse projeto será registrado no site de Projetos Particulares, o qual gera um protocolo para essa atividade, onde o profissional responsável terá acesso contínuo para consultar o status do seu projeto.  </w:t>
      </w:r>
    </w:p>
    <w:p w14:paraId="78D6D4FB" w14:textId="77777777" w:rsidR="00D5668C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lastRenderedPageBreak/>
        <w:t xml:space="preserve">Como </w:t>
      </w:r>
      <w:r w:rsidR="00FB70BA">
        <w:t>será analisado m</w:t>
      </w:r>
      <w:r>
        <w:t>eu projeto de MMGD?</w:t>
      </w:r>
    </w:p>
    <w:p w14:paraId="5C225EAC" w14:textId="6358C1CC" w:rsidR="006C15DC" w:rsidRPr="006C15DC" w:rsidRDefault="00857E4F" w:rsidP="00E00060">
      <w:pPr>
        <w:autoSpaceDE w:val="0"/>
        <w:autoSpaceDN w:val="0"/>
        <w:spacing w:before="40" w:after="40" w:line="276" w:lineRule="auto"/>
        <w:jc w:val="both"/>
        <w:rPr>
          <w:lang w:val="pt-BR"/>
        </w:rPr>
      </w:pPr>
      <w:r w:rsidRPr="00857E4F">
        <w:rPr>
          <w:lang w:val="pt-BR"/>
        </w:rPr>
        <w:t>As solicitações de conexão serão apreciadas pela distribuidora observando os documentos apresentados com base no cadastro existente da unidade consumidora junto à CPFL e na norma técnica GED 15303 - Conexão de Micro e Minigeração Distribuída sob Sistema de Compensação de Energia Elétrica, disponível em nossa página de normas técnicas.</w:t>
      </w:r>
      <w:r w:rsidR="006C15DC" w:rsidRPr="006C15DC">
        <w:rPr>
          <w:lang w:val="pt-BR"/>
        </w:rPr>
        <w:t xml:space="preserve"> </w:t>
      </w:r>
    </w:p>
    <w:p w14:paraId="34ED6387" w14:textId="77777777" w:rsidR="00541131" w:rsidRPr="001D4BA0" w:rsidRDefault="00541131" w:rsidP="004625F7">
      <w:pPr>
        <w:pStyle w:val="Heading1"/>
        <w:numPr>
          <w:ilvl w:val="0"/>
          <w:numId w:val="1"/>
        </w:numPr>
        <w:spacing w:line="276" w:lineRule="auto"/>
        <w:jc w:val="both"/>
      </w:pPr>
      <w:r w:rsidRPr="001D4BA0">
        <w:t>Como calcular a potência de um gerador fotovoltaico?</w:t>
      </w:r>
    </w:p>
    <w:p w14:paraId="120FF5C8" w14:textId="594B2F48" w:rsidR="00541131" w:rsidRPr="00541131" w:rsidRDefault="00857E4F" w:rsidP="00E00060">
      <w:pPr>
        <w:spacing w:line="276" w:lineRule="auto"/>
        <w:jc w:val="both"/>
        <w:rPr>
          <w:highlight w:val="yellow"/>
          <w:lang w:val="pt-BR"/>
        </w:rPr>
      </w:pPr>
      <w:r w:rsidRPr="00857E4F">
        <w:rPr>
          <w:lang w:val="pt-BR"/>
        </w:rPr>
        <w:t>A potência instalada de um gerador fotovoltaico sempre será a menor resultante entre a soma da potência nominal de saída dos inversores, e a soma da potência decorrente dos módulos, ambas expressas em kW. Ou seja, é o menor valor entre a potência dos módulos e inversores. Esta potência deve ser corretamente preenchida nos campos de potência do gerador, na abertura do pedido no site de projetos particulares da CPFL.</w:t>
      </w:r>
    </w:p>
    <w:p w14:paraId="11ADB594" w14:textId="77777777" w:rsidR="00541131" w:rsidRPr="001D4BA0" w:rsidRDefault="00541131" w:rsidP="004625F7">
      <w:pPr>
        <w:pStyle w:val="Heading1"/>
        <w:numPr>
          <w:ilvl w:val="0"/>
          <w:numId w:val="1"/>
        </w:numPr>
        <w:spacing w:line="276" w:lineRule="auto"/>
        <w:jc w:val="both"/>
      </w:pPr>
      <w:r w:rsidRPr="001D4BA0">
        <w:t>Quais documentos são válidos para certificação do Inversor?</w:t>
      </w:r>
    </w:p>
    <w:p w14:paraId="137AAC22" w14:textId="77777777" w:rsidR="00857E4F" w:rsidRPr="00857E4F" w:rsidRDefault="00857E4F" w:rsidP="00857E4F">
      <w:pPr>
        <w:spacing w:line="276" w:lineRule="auto"/>
        <w:jc w:val="both"/>
        <w:rPr>
          <w:lang w:val="pt-BR"/>
        </w:rPr>
      </w:pPr>
      <w:r w:rsidRPr="00857E4F">
        <w:rPr>
          <w:lang w:val="pt-BR"/>
        </w:rPr>
        <w:t xml:space="preserve">O projetista deve apresentar o registro de certificação do INMETRO dentro do período de validade. </w:t>
      </w:r>
    </w:p>
    <w:p w14:paraId="642A53F7" w14:textId="77777777" w:rsidR="00857E4F" w:rsidRPr="00857E4F" w:rsidRDefault="00857E4F" w:rsidP="00857E4F">
      <w:pPr>
        <w:spacing w:line="276" w:lineRule="auto"/>
        <w:jc w:val="both"/>
        <w:rPr>
          <w:lang w:val="pt-BR"/>
        </w:rPr>
      </w:pPr>
      <w:r w:rsidRPr="00857E4F">
        <w:rPr>
          <w:lang w:val="pt-BR"/>
        </w:rPr>
        <w:t xml:space="preserve">Para inversores cuja potência nominal de saída ultrapasse de 10 kW, são requisitados certificados de conformidade do inversor que expressem atendimento a normatização técnica da ABNT – Associação Brasileira de Normas Técnicas. </w:t>
      </w:r>
    </w:p>
    <w:p w14:paraId="7AFEA378" w14:textId="46E40CBD" w:rsidR="004625F7" w:rsidRPr="001D4BA0" w:rsidRDefault="00857E4F" w:rsidP="00857E4F">
      <w:pPr>
        <w:spacing w:line="276" w:lineRule="auto"/>
        <w:jc w:val="both"/>
        <w:rPr>
          <w:lang w:val="pt-BR"/>
        </w:rPr>
      </w:pPr>
      <w:r w:rsidRPr="00857E4F">
        <w:rPr>
          <w:lang w:val="pt-BR"/>
        </w:rPr>
        <w:t xml:space="preserve">No caso </w:t>
      </w:r>
      <w:proofErr w:type="gramStart"/>
      <w:r w:rsidRPr="00857E4F">
        <w:rPr>
          <w:lang w:val="pt-BR"/>
        </w:rPr>
        <w:t>do</w:t>
      </w:r>
      <w:proofErr w:type="gramEnd"/>
      <w:r w:rsidRPr="00857E4F">
        <w:rPr>
          <w:lang w:val="pt-BR"/>
        </w:rPr>
        <w:t xml:space="preserve"> inversor não ter sido ensaiado conforme essa normalização da ABNT, o </w:t>
      </w:r>
      <w:proofErr w:type="spellStart"/>
      <w:r w:rsidRPr="00857E4F">
        <w:rPr>
          <w:lang w:val="pt-BR"/>
        </w:rPr>
        <w:t>acessante</w:t>
      </w:r>
      <w:proofErr w:type="spellEnd"/>
      <w:r w:rsidRPr="00857E4F">
        <w:rPr>
          <w:lang w:val="pt-BR"/>
        </w:rPr>
        <w:t>, ou seu Projetista, deverá fornecer cópia dos certificados do fabricante que demonstrem que o inversor foi aprovado segundo a normalização técnica internacional de origem, bem como uma declaração deste fabricante de que essas normas internacionais cobrem integralmente os requisitos da ABNT, ainda que os excedam</w:t>
      </w:r>
      <w:r w:rsidR="004625F7" w:rsidRPr="004625F7">
        <w:rPr>
          <w:lang w:val="pt-BR"/>
        </w:rPr>
        <w:t>.</w:t>
      </w:r>
    </w:p>
    <w:p w14:paraId="40AE1F33" w14:textId="77777777" w:rsidR="00D5668C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Após a aprovação do projeto, quais os próximos passos?</w:t>
      </w:r>
    </w:p>
    <w:p w14:paraId="3B28F3A5" w14:textId="77777777" w:rsidR="00857E4F" w:rsidRPr="009A7243" w:rsidRDefault="00857E4F" w:rsidP="00857E4F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Após a aprovação do projeto, os passos seguintes dependerão de haverá a necessidade obra ou não, e por quem será realizada a obra, conforme abaixo:</w:t>
      </w:r>
    </w:p>
    <w:p w14:paraId="2D17C534" w14:textId="77777777" w:rsidR="00857E4F" w:rsidRPr="009A7243" w:rsidRDefault="00857E4F" w:rsidP="00857E4F">
      <w:pPr>
        <w:spacing w:line="276" w:lineRule="auto"/>
        <w:jc w:val="both"/>
        <w:rPr>
          <w:lang w:val="pt-BR"/>
        </w:rPr>
      </w:pPr>
      <w:r w:rsidRPr="009A7243">
        <w:rPr>
          <w:b/>
          <w:lang w:val="pt-BR"/>
        </w:rPr>
        <w:t>Projeto sem Obra:</w:t>
      </w:r>
      <w:r w:rsidRPr="009A7243">
        <w:rPr>
          <w:lang w:val="pt-BR"/>
        </w:rPr>
        <w:t xml:space="preserve"> Uma vez aprovado o projeto, o responsável técnico deverá solicitar a vistoria pelo Site de Projetos Particulares.</w:t>
      </w:r>
    </w:p>
    <w:p w14:paraId="03F52194" w14:textId="77777777" w:rsidR="00857E4F" w:rsidRPr="009A7243" w:rsidRDefault="00857E4F" w:rsidP="00857E4F">
      <w:pPr>
        <w:spacing w:line="276" w:lineRule="auto"/>
        <w:jc w:val="both"/>
        <w:rPr>
          <w:lang w:val="pt-BR"/>
        </w:rPr>
      </w:pPr>
      <w:r w:rsidRPr="009A7243">
        <w:rPr>
          <w:b/>
          <w:lang w:val="pt-BR"/>
        </w:rPr>
        <w:t>Projeto com Obra</w:t>
      </w:r>
      <w:r w:rsidRPr="009A7243">
        <w:rPr>
          <w:lang w:val="pt-BR"/>
        </w:rPr>
        <w:t>: Uma vez aprovado o projeto, a CPFL enviará ao Titular da instalação o Termo de Opção de Obras, o qual serve para o cliente optar em realizar a obra com a Distribuidora ou por terceiros.</w:t>
      </w:r>
    </w:p>
    <w:p w14:paraId="6E15DB64" w14:textId="77777777" w:rsidR="00857E4F" w:rsidRPr="009A7243" w:rsidRDefault="00857E4F" w:rsidP="00857E4F">
      <w:pPr>
        <w:spacing w:line="276" w:lineRule="auto"/>
        <w:jc w:val="both"/>
        <w:rPr>
          <w:lang w:val="pt-BR"/>
        </w:rPr>
      </w:pPr>
      <w:r w:rsidRPr="009A7243">
        <w:rPr>
          <w:b/>
          <w:lang w:val="pt-BR"/>
        </w:rPr>
        <w:lastRenderedPageBreak/>
        <w:t xml:space="preserve">Obras realizadas pela Distribuidora: </w:t>
      </w:r>
      <w:r w:rsidRPr="009A7243">
        <w:rPr>
          <w:lang w:val="pt-BR"/>
        </w:rPr>
        <w:t xml:space="preserve">Caso a opção seja por obra executada pela Distribuidora, após o recebimento do Termo de Opção de Obras, assinado pelo cliente, </w:t>
      </w:r>
      <w:proofErr w:type="gramStart"/>
      <w:r w:rsidRPr="009A7243">
        <w:rPr>
          <w:lang w:val="pt-BR"/>
        </w:rPr>
        <w:t>a mesma</w:t>
      </w:r>
      <w:proofErr w:type="gramEnd"/>
      <w:r w:rsidRPr="009A7243">
        <w:rPr>
          <w:lang w:val="pt-BR"/>
        </w:rPr>
        <w:t xml:space="preserve"> será executada segundo os prazos estipulados pela Resolução Normativa ANEEL nº 1000/2021.</w:t>
      </w:r>
    </w:p>
    <w:p w14:paraId="578E871C" w14:textId="77777777" w:rsidR="00857E4F" w:rsidRPr="009A7243" w:rsidRDefault="00857E4F" w:rsidP="00857E4F">
      <w:pPr>
        <w:spacing w:line="276" w:lineRule="auto"/>
        <w:jc w:val="both"/>
        <w:rPr>
          <w:lang w:val="pt-BR"/>
        </w:rPr>
      </w:pPr>
      <w:r w:rsidRPr="009A7243">
        <w:rPr>
          <w:b/>
          <w:lang w:val="pt-BR"/>
        </w:rPr>
        <w:t>Obras realizadas por terceiros:</w:t>
      </w:r>
      <w:r w:rsidRPr="009A7243">
        <w:rPr>
          <w:lang w:val="pt-BR"/>
        </w:rPr>
        <w:t xml:space="preserve"> As informações e orientações que regularão todas as tratativas técnicas e comerciais envolvidas nessa forma de execução encontram-se na Norma Técnica </w:t>
      </w:r>
      <w:r w:rsidRPr="009A7243">
        <w:rPr>
          <w:b/>
          <w:bCs/>
          <w:lang w:val="pt-BR"/>
        </w:rPr>
        <w:t>GED-14186 – Construção de Rede Por Terceiros</w:t>
      </w:r>
      <w:r w:rsidRPr="009A7243">
        <w:rPr>
          <w:lang w:val="pt-BR"/>
        </w:rPr>
        <w:t xml:space="preserve"> disponibilizada no site da CPFL.</w:t>
      </w:r>
    </w:p>
    <w:p w14:paraId="6769356D" w14:textId="5EE6110C" w:rsidR="00C323DB" w:rsidRDefault="00C323DB" w:rsidP="00E00060">
      <w:pPr>
        <w:spacing w:line="276" w:lineRule="auto"/>
        <w:jc w:val="both"/>
        <w:rPr>
          <w:lang w:val="pt-BR"/>
        </w:rPr>
      </w:pPr>
    </w:p>
    <w:p w14:paraId="2484C086" w14:textId="77777777" w:rsidR="00D5668C" w:rsidRPr="004523EF" w:rsidRDefault="00BD02EE" w:rsidP="00E00060">
      <w:pPr>
        <w:pStyle w:val="Heading1"/>
        <w:numPr>
          <w:ilvl w:val="0"/>
          <w:numId w:val="1"/>
        </w:numPr>
        <w:spacing w:line="276" w:lineRule="auto"/>
        <w:jc w:val="both"/>
      </w:pPr>
      <w:r w:rsidRPr="004523EF">
        <w:t xml:space="preserve">A vistoria do projeto </w:t>
      </w:r>
      <w:r w:rsidR="004523EF" w:rsidRPr="004523EF">
        <w:t>não foi aprovada</w:t>
      </w:r>
      <w:r w:rsidR="00D5668C" w:rsidRPr="004523EF">
        <w:t>, o que fazer?</w:t>
      </w:r>
    </w:p>
    <w:p w14:paraId="292AC353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Se a vistoria foi reprovada a CPFL emitirá o relatório de pendências e será necessário realizar a adequação de todos os itens apontados.</w:t>
      </w:r>
    </w:p>
    <w:p w14:paraId="68941021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Após providenciar as adequações poderá solicitar a vistoria novamente em nosso site de projetos particulares</w:t>
      </w:r>
      <w:r w:rsidRPr="009A7243">
        <w:rPr>
          <w:b/>
          <w:lang w:val="pt-BR"/>
        </w:rPr>
        <w:t>.</w:t>
      </w:r>
    </w:p>
    <w:p w14:paraId="75707341" w14:textId="77777777" w:rsidR="00D5668C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A vistoria do projeto foi aprovada. Qual o próximo passo?</w:t>
      </w:r>
    </w:p>
    <w:p w14:paraId="2C42F82C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 xml:space="preserve">Após a aprovação da vistoria, a CPFL realizará a conexão à rede com a instalação do medidor bidirecional. </w:t>
      </w:r>
    </w:p>
    <w:p w14:paraId="20377A04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Essa etapa do processo ocorre automaticamente, não havendo necessidade de ação por parte do Responsável técnico ou cliente.</w:t>
      </w:r>
    </w:p>
    <w:p w14:paraId="2D8E436B" w14:textId="77777777" w:rsidR="00D5668C" w:rsidRDefault="00D5668C" w:rsidP="00E00060">
      <w:pPr>
        <w:pStyle w:val="Heading1"/>
        <w:numPr>
          <w:ilvl w:val="0"/>
          <w:numId w:val="1"/>
        </w:numPr>
        <w:spacing w:line="276" w:lineRule="auto"/>
        <w:ind w:left="567" w:hanging="567"/>
        <w:jc w:val="both"/>
      </w:pPr>
      <w:r>
        <w:t>Quero instalar mais placas, ou trocar algum equipamento danificado do sistema de geração de energia. O que devo fazer?</w:t>
      </w:r>
    </w:p>
    <w:p w14:paraId="05E74D3A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 xml:space="preserve">Para qualquer alteração no projeto de Micro/Minigeração já aprovado pela CPFL, será necessário entrar com nova atividade em nosso </w:t>
      </w:r>
      <w:r w:rsidRPr="009A7243">
        <w:rPr>
          <w:b/>
          <w:bCs/>
          <w:lang w:val="pt-BR"/>
        </w:rPr>
        <w:t>site de projetos particulares</w:t>
      </w:r>
      <w:r w:rsidRPr="009A7243">
        <w:rPr>
          <w:lang w:val="pt-BR"/>
        </w:rPr>
        <w:t>.</w:t>
      </w:r>
    </w:p>
    <w:p w14:paraId="0436F101" w14:textId="77777777" w:rsidR="00FB70BA" w:rsidRDefault="00FB70BA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 xml:space="preserve">Quais são as responsabilidades do </w:t>
      </w:r>
      <w:r w:rsidR="00161627">
        <w:t xml:space="preserve">cliente </w:t>
      </w:r>
      <w:r>
        <w:t xml:space="preserve">num sistema de Geração Distribuída?  </w:t>
      </w:r>
    </w:p>
    <w:p w14:paraId="1C5B8B1E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O cliente é totalmente responsável pelo seu sistema elétrico particular e tem a total responsabilidade por sua manutenção corretiva e preventiva.</w:t>
      </w:r>
    </w:p>
    <w:p w14:paraId="7EF4B438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Assim, é imprescindível que o cliente com central de micro ou minigeração distribuída siga rigorosamente todos os procedimentos e determinações constantes no Relacionamento Operacional ou Acordo Operativo.</w:t>
      </w:r>
    </w:p>
    <w:p w14:paraId="0CB2BCA3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lastRenderedPageBreak/>
        <w:t>O cliente responderá civil e criminalmente pela falta de cumprimento dos requisitos estabelecidos na Norma Técnica GED 15303, sendo responsável pelos danos pessoais e materiais que venham a ser causados por manobras, operações ou interligações indevidas, provocando acidentes na rede elétrica da Distribuidora.</w:t>
      </w:r>
    </w:p>
    <w:p w14:paraId="1F343246" w14:textId="1FAD4208" w:rsidR="0016519E" w:rsidRDefault="0016519E" w:rsidP="00E00060">
      <w:pPr>
        <w:spacing w:line="276" w:lineRule="auto"/>
        <w:jc w:val="both"/>
        <w:rPr>
          <w:lang w:val="pt-BR"/>
        </w:rPr>
      </w:pPr>
    </w:p>
    <w:p w14:paraId="5F1FF0DD" w14:textId="6F0E7EE8" w:rsidR="00FB70BA" w:rsidRDefault="00FB70BA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 xml:space="preserve">Posso manter meu sistema de Geração Distribuída </w:t>
      </w:r>
      <w:r w:rsidR="006335AD">
        <w:t xml:space="preserve">conectado </w:t>
      </w:r>
      <w:proofErr w:type="spellStart"/>
      <w:r>
        <w:t>a</w:t>
      </w:r>
      <w:proofErr w:type="spellEnd"/>
      <w:r>
        <w:t xml:space="preserve"> rede da </w:t>
      </w:r>
      <w:r w:rsidR="00EE16D1">
        <w:t>CPFL, caso</w:t>
      </w:r>
      <w:r w:rsidR="000973E0">
        <w:t xml:space="preserve"> </w:t>
      </w:r>
      <w:r w:rsidR="006335AD">
        <w:t xml:space="preserve">essa não </w:t>
      </w:r>
      <w:r>
        <w:t xml:space="preserve">estiver ligada? </w:t>
      </w:r>
    </w:p>
    <w:p w14:paraId="4DB99B3C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Não é permitido, em nenhuma hipótese, manter o sistema de geração distribuída energizado quando houver desligamento da rede da Distribuidora, por qualquer que seja o motivo. O elemento de interrupção na conexão da central geradora (usualmente o inversor eletrônico, quando em BT, ou o disjuntor, quando em MT) deverá automaticamente abrir a ligação entre os sistemas.</w:t>
      </w:r>
    </w:p>
    <w:p w14:paraId="64851A92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Sempre que há desligamentos programados em seu sistema de distribuição e que afetem o cliente, a CPFL comunica seus clientes com antecedência mínima conforme Art. 436 da Resolução Normativa ANEEL nº 1000/2021.</w:t>
      </w:r>
    </w:p>
    <w:p w14:paraId="5DB65BD2" w14:textId="77777777" w:rsidR="00FB70BA" w:rsidRDefault="00FB70BA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 xml:space="preserve">Preciso adequar meu padrão de entrada para instalação do sistema de Geração Distribuída? </w:t>
      </w:r>
    </w:p>
    <w:p w14:paraId="6B62BF26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O padrão de entrada instalado deverá atender aos padrões técnicos da CPFL e nos casos de inviabilidade técnica ou por motivos de segurança poderá ser necessária a troca ou adequação da caixa, ou de outras modificações no padrão de entrada.</w:t>
      </w:r>
    </w:p>
    <w:p w14:paraId="37ED603B" w14:textId="7373C7F8" w:rsidR="00FB70BA" w:rsidRDefault="00FB70BA" w:rsidP="00E00060">
      <w:pPr>
        <w:spacing w:line="276" w:lineRule="auto"/>
        <w:jc w:val="both"/>
        <w:rPr>
          <w:lang w:val="pt-BR"/>
        </w:rPr>
      </w:pPr>
    </w:p>
    <w:p w14:paraId="713D3618" w14:textId="77777777" w:rsidR="00D5668C" w:rsidRPr="00E57006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proofErr w:type="gramStart"/>
      <w:r>
        <w:t>Porque</w:t>
      </w:r>
      <w:proofErr w:type="gramEnd"/>
      <w:r>
        <w:t xml:space="preserve"> foi substituído o medidor de energia elétrica?</w:t>
      </w:r>
    </w:p>
    <w:p w14:paraId="64EC7AB9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Porque o sistema de medição de uma unidade consumidora com microgeração ou minigeração distribuída deve possuir um medidor bidirecional, este equipamento mede a energia líquida injetada ou consumida pela unidade consumidora.</w:t>
      </w:r>
    </w:p>
    <w:p w14:paraId="7815F9AD" w14:textId="149F6823" w:rsidR="00A739C5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 xml:space="preserve">Porque no medidor da </w:t>
      </w:r>
      <w:r w:rsidR="00EE16D1">
        <w:t>CPFL</w:t>
      </w:r>
      <w:r w:rsidR="000973E0">
        <w:t xml:space="preserve"> </w:t>
      </w:r>
      <w:r>
        <w:t xml:space="preserve">consta uma geração de energia (em kWh) menor do que </w:t>
      </w:r>
      <w:r w:rsidR="00A739C5">
        <w:t>a registrada</w:t>
      </w:r>
      <w:r>
        <w:t xml:space="preserve"> no </w:t>
      </w:r>
      <w:r w:rsidR="00A739C5">
        <w:t>inversor?</w:t>
      </w:r>
    </w:p>
    <w:p w14:paraId="05D10D18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 xml:space="preserve">O inversor registra a energia total gerada, ele não tem a capacidade de descontar a energia consumida pelas cargas da unidade consumidora. Por isso, se comparar a energia total </w:t>
      </w:r>
      <w:r w:rsidRPr="009A7243">
        <w:rPr>
          <w:lang w:val="pt-BR"/>
        </w:rPr>
        <w:lastRenderedPageBreak/>
        <w:t xml:space="preserve">gerada e registrada no inversor com a apresentada no medidor da distribuidora as informações serão diferentes. </w:t>
      </w:r>
    </w:p>
    <w:p w14:paraId="3FF0142E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 xml:space="preserve">O medidor instalado pela Distribuidora tem a função de registrar a energia excedente gerada e injetada na rede da distribuidora, </w:t>
      </w:r>
      <w:proofErr w:type="gramStart"/>
      <w:r w:rsidRPr="009A7243">
        <w:rPr>
          <w:lang w:val="pt-BR"/>
        </w:rPr>
        <w:t>e também</w:t>
      </w:r>
      <w:proofErr w:type="gramEnd"/>
      <w:r w:rsidRPr="009A7243">
        <w:rPr>
          <w:lang w:val="pt-BR"/>
        </w:rPr>
        <w:t xml:space="preserve"> outra função é registrar a energia fornecida pela Distribuidora à unidade consumidora. </w:t>
      </w:r>
    </w:p>
    <w:p w14:paraId="784306F8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</w:p>
    <w:p w14:paraId="3E6F4544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 xml:space="preserve">A imagem abaixo demonstra como funciona esse processo: </w:t>
      </w:r>
    </w:p>
    <w:p w14:paraId="0CD90DD9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</w:p>
    <w:p w14:paraId="3B6997E3" w14:textId="3E498144" w:rsidR="00D5668C" w:rsidRDefault="00090386" w:rsidP="00E00060">
      <w:pPr>
        <w:spacing w:line="276" w:lineRule="auto"/>
        <w:jc w:val="both"/>
      </w:pPr>
      <w:r>
        <w:rPr>
          <w:noProof/>
          <w:lang w:val="pt-BR" w:eastAsia="pt-BR"/>
        </w:rPr>
        <w:drawing>
          <wp:inline distT="0" distB="0" distL="0" distR="0" wp14:anchorId="1D9BBB90" wp14:editId="7A774A1E">
            <wp:extent cx="5607050" cy="3079750"/>
            <wp:effectExtent l="0" t="0" r="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D81E" w14:textId="77777777" w:rsidR="00541131" w:rsidRDefault="00541131" w:rsidP="00E00060">
      <w:pPr>
        <w:pStyle w:val="Heading1"/>
        <w:numPr>
          <w:ilvl w:val="0"/>
          <w:numId w:val="1"/>
        </w:numPr>
        <w:spacing w:line="276" w:lineRule="auto"/>
        <w:ind w:left="567" w:hanging="567"/>
        <w:jc w:val="both"/>
      </w:pPr>
      <w:r>
        <w:t xml:space="preserve">Posso conectar meu sistema de Micro e Minigeração através de um contrato de </w:t>
      </w:r>
      <w:r w:rsidR="003112B7">
        <w:t>aluguel ou comodato de telhado/t</w:t>
      </w:r>
      <w:r>
        <w:t>erreno?</w:t>
      </w:r>
    </w:p>
    <w:p w14:paraId="116764A2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Sim, frequentemente ocorre quando o cliente não possui espaço físico para instalação do seu sistema de compensação.</w:t>
      </w:r>
    </w:p>
    <w:p w14:paraId="468C50CD" w14:textId="77777777" w:rsidR="00C426D4" w:rsidRPr="009A7243" w:rsidRDefault="00C426D4" w:rsidP="00C426D4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Para isso, é necessário solicitar uma instalação específica para o sistema de geração de energia entrando com o pedido de conexão junto a CPFL.</w:t>
      </w:r>
    </w:p>
    <w:p w14:paraId="7EC1E23D" w14:textId="21A97BAA" w:rsidR="00541131" w:rsidRDefault="00541131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lastRenderedPageBreak/>
        <w:t xml:space="preserve">Para aumentar a capacidade da usina geradora, precisa refazer o projeto todo e reencaminhar para a </w:t>
      </w:r>
      <w:r w:rsidR="00EE16D1">
        <w:t>CPFL</w:t>
      </w:r>
      <w:r>
        <w:t xml:space="preserve">? </w:t>
      </w:r>
    </w:p>
    <w:p w14:paraId="7D124F10" w14:textId="77777777" w:rsidR="00EA6EB1" w:rsidRPr="009A7243" w:rsidRDefault="00EA6EB1" w:rsidP="00EA6EB1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Sim, havendo qualquer alteração na potência de geração na unidade consumidora deverá ser apresentado um novo projeto.</w:t>
      </w:r>
    </w:p>
    <w:p w14:paraId="531AEC46" w14:textId="77777777" w:rsidR="00541131" w:rsidRDefault="00541131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Qual o procedimento para incluir unidades consumidoras como beneficiárias de uma unidade geradora?</w:t>
      </w:r>
    </w:p>
    <w:p w14:paraId="5578EE38" w14:textId="77777777" w:rsidR="00EA6EB1" w:rsidRPr="009A7243" w:rsidRDefault="00EA6EB1" w:rsidP="00EA6EB1">
      <w:pPr>
        <w:autoSpaceDE w:val="0"/>
        <w:autoSpaceDN w:val="0"/>
        <w:spacing w:before="40" w:after="40" w:line="276" w:lineRule="auto"/>
        <w:jc w:val="both"/>
        <w:rPr>
          <w:lang w:val="pt-BR"/>
        </w:rPr>
      </w:pPr>
      <w:r w:rsidRPr="009A7243">
        <w:rPr>
          <w:lang w:val="pt-BR"/>
        </w:rPr>
        <w:t>A inclusão de beneficiárias ocorre no momento da apresentação do projeto à CPFL, onde é enviado o Anexo G com a relação das beneficiárias e o percentual do saldo de energia que cada uma receberá, este documento (Anexo G) é parte integrante da norma técnica GED 15303, e deverá ser enviado assinado pelo titular da unidade geradora.</w:t>
      </w:r>
    </w:p>
    <w:p w14:paraId="1E793FA1" w14:textId="77777777" w:rsidR="00541131" w:rsidRDefault="00541131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Qual o procedimento para alterar unidades consumidoras e/ou seus percentuais de energia alocada?</w:t>
      </w:r>
    </w:p>
    <w:p w14:paraId="7789FA0B" w14:textId="77777777" w:rsidR="00EA6EB1" w:rsidRPr="009A7243" w:rsidRDefault="00EA6EB1" w:rsidP="00EA6EB1">
      <w:pPr>
        <w:spacing w:line="276" w:lineRule="auto"/>
        <w:jc w:val="both"/>
        <w:rPr>
          <w:lang w:val="pt-BR"/>
        </w:rPr>
      </w:pPr>
      <w:r w:rsidRPr="009A7243">
        <w:rPr>
          <w:lang w:val="pt-BR"/>
        </w:rPr>
        <w:t>Havendo necessidade de alteração de beneficiárias ou ajuste no percentual de distribuição do saldo de energia, o titular da unidade geradora poderá solicitar a qualquer momento esse serviço à CPFL, enviando novamente o Anexo G, disponível na norma técnica GED 15303. Este documento deve estar assinado pelo responsável da unidade da geradora.</w:t>
      </w:r>
    </w:p>
    <w:p w14:paraId="23EE4093" w14:textId="5C37BD2B" w:rsidR="00541131" w:rsidRDefault="00541131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 xml:space="preserve">Qual o prazo que a </w:t>
      </w:r>
      <w:r w:rsidR="00EE16D1">
        <w:t>CPFL</w:t>
      </w:r>
      <w:r>
        <w:t xml:space="preserve"> tem para alterar as beneficiárias e /ou seus percentuais de energia alocada?</w:t>
      </w:r>
      <w:r w:rsidR="00351AAF">
        <w:t xml:space="preserve"> </w:t>
      </w:r>
    </w:p>
    <w:p w14:paraId="06301E06" w14:textId="1A083A9A" w:rsidR="00C514BF" w:rsidRDefault="00541131" w:rsidP="00E00060"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A </w:t>
      </w:r>
      <w:r w:rsidR="00EE16D1">
        <w:rPr>
          <w:lang w:val="pt-BR"/>
        </w:rPr>
        <w:t>CPFL</w:t>
      </w:r>
      <w:r>
        <w:rPr>
          <w:lang w:val="pt-BR"/>
        </w:rPr>
        <w:t xml:space="preserve"> tem o prazo de 60 dias, contados a partir do recebimento do formulário Anexo G, devidamente preenchido e assinado.</w:t>
      </w:r>
    </w:p>
    <w:p w14:paraId="7EFC7EC1" w14:textId="5BC2D379" w:rsidR="00CC093F" w:rsidRDefault="00CC093F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Qual o valor mínimo faturado?</w:t>
      </w:r>
      <w:r w:rsidR="00351AAF">
        <w:rPr>
          <w:color w:val="FF0000"/>
        </w:rPr>
        <w:t xml:space="preserve"> </w:t>
      </w:r>
    </w:p>
    <w:p w14:paraId="3797A341" w14:textId="77777777" w:rsidR="00CC093F" w:rsidRPr="00D5668C" w:rsidRDefault="00CC093F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Para unidades consumidoras conectadas em baixa tensão (grupo B), ainda que a energia injetada na rede seja superior ao consumo, será </w:t>
      </w:r>
      <w:r w:rsidR="003112B7">
        <w:rPr>
          <w:lang w:val="pt-BR"/>
        </w:rPr>
        <w:t>necessário</w:t>
      </w:r>
      <w:r w:rsidRPr="00D5668C">
        <w:rPr>
          <w:lang w:val="pt-BR"/>
        </w:rPr>
        <w:t xml:space="preserve"> o pagamento referente ao custo de disponibilidade – valor em reais equivalente a 30 kWh (monofásico), 50 kWh (bifásico) ou 100 kWh (trifásico). </w:t>
      </w:r>
    </w:p>
    <w:p w14:paraId="4F5ED93E" w14:textId="7008222C" w:rsidR="00CC093F" w:rsidRPr="00D5668C" w:rsidRDefault="00CC093F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De forma análoga, para os </w:t>
      </w:r>
      <w:r w:rsidR="00BF7717">
        <w:rPr>
          <w:lang w:val="pt-BR"/>
        </w:rPr>
        <w:t>clientes</w:t>
      </w:r>
      <w:r w:rsidRPr="00D5668C">
        <w:rPr>
          <w:lang w:val="pt-BR"/>
        </w:rPr>
        <w:t xml:space="preserve"> conectados em alta tensão (grupo A) </w:t>
      </w:r>
      <w:r w:rsidR="007842B3" w:rsidRPr="007842B3">
        <w:rPr>
          <w:lang w:val="pt-BR"/>
        </w:rPr>
        <w:t xml:space="preserve">será devido </w:t>
      </w:r>
      <w:r w:rsidR="007842B3" w:rsidRPr="007842B3">
        <w:rPr>
          <w:b/>
          <w:lang w:val="pt-BR"/>
        </w:rPr>
        <w:t>no mínimo</w:t>
      </w:r>
      <w:r w:rsidR="007842B3" w:rsidRPr="007842B3">
        <w:rPr>
          <w:lang w:val="pt-BR"/>
        </w:rPr>
        <w:t xml:space="preserve"> o valor corr</w:t>
      </w:r>
      <w:r w:rsidR="007842B3">
        <w:rPr>
          <w:lang w:val="pt-BR"/>
        </w:rPr>
        <w:t>espondente à demanda contratada</w:t>
      </w:r>
      <w:r w:rsidRPr="00D5668C">
        <w:rPr>
          <w:lang w:val="pt-BR"/>
        </w:rPr>
        <w:t xml:space="preserve">. As regras de faturamento do sistema de compensação, estão contidas no artigo 7º da </w:t>
      </w:r>
      <w:r w:rsidR="002F475D">
        <w:rPr>
          <w:lang w:val="pt-BR"/>
        </w:rPr>
        <w:t xml:space="preserve">Resolução Normativa ANEEL </w:t>
      </w:r>
      <w:r w:rsidRPr="00D5668C">
        <w:rPr>
          <w:lang w:val="pt-BR"/>
        </w:rPr>
        <w:t xml:space="preserve">nº </w:t>
      </w:r>
      <w:r w:rsidRPr="00D5668C">
        <w:rPr>
          <w:lang w:val="pt-BR"/>
        </w:rPr>
        <w:lastRenderedPageBreak/>
        <w:t xml:space="preserve">482/2012, com complementação, quando couber, pela </w:t>
      </w:r>
      <w:r w:rsidR="002F475D">
        <w:rPr>
          <w:lang w:val="pt-BR"/>
        </w:rPr>
        <w:t xml:space="preserve">Resolução Normativa ANEEL </w:t>
      </w:r>
      <w:r w:rsidRPr="00D5668C">
        <w:rPr>
          <w:lang w:val="pt-BR"/>
        </w:rPr>
        <w:t xml:space="preserve">nº </w:t>
      </w:r>
      <w:r w:rsidR="0046647E">
        <w:rPr>
          <w:lang w:val="pt-BR"/>
        </w:rPr>
        <w:t>1000/2021</w:t>
      </w:r>
      <w:r w:rsidRPr="00D5668C">
        <w:rPr>
          <w:lang w:val="pt-BR"/>
        </w:rPr>
        <w:t xml:space="preserve">. </w:t>
      </w:r>
    </w:p>
    <w:p w14:paraId="79D7DA34" w14:textId="1D3B27C1" w:rsidR="00D5668C" w:rsidRPr="00E57006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Como ocorre a compensação de energia?</w:t>
      </w:r>
      <w:r w:rsidR="00351AAF">
        <w:t xml:space="preserve"> </w:t>
      </w:r>
    </w:p>
    <w:p w14:paraId="34C4AC8A" w14:textId="23E61301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A </w:t>
      </w:r>
      <w:r w:rsidR="00EE16D1">
        <w:rPr>
          <w:lang w:val="pt-BR"/>
        </w:rPr>
        <w:t>CPFL</w:t>
      </w:r>
      <w:r w:rsidRPr="00D5668C">
        <w:rPr>
          <w:lang w:val="pt-BR"/>
        </w:rPr>
        <w:t xml:space="preserve"> realiza a leitura do medidor bidirecional, coletando a l</w:t>
      </w:r>
      <w:r w:rsidR="00BF7717">
        <w:rPr>
          <w:lang w:val="pt-BR"/>
        </w:rPr>
        <w:t xml:space="preserve">eitura da energia consumida da </w:t>
      </w:r>
      <w:r w:rsidRPr="00D5668C">
        <w:rPr>
          <w:lang w:val="pt-BR"/>
        </w:rPr>
        <w:t xml:space="preserve">rede da </w:t>
      </w:r>
      <w:r w:rsidR="00BF7717">
        <w:rPr>
          <w:lang w:val="pt-BR"/>
        </w:rPr>
        <w:t>Distribuidora</w:t>
      </w:r>
      <w:r w:rsidRPr="00D5668C">
        <w:rPr>
          <w:lang w:val="pt-BR"/>
        </w:rPr>
        <w:t xml:space="preserve"> e a leitura da energia injetada pelo cliente </w:t>
      </w:r>
      <w:r w:rsidR="0046647E">
        <w:rPr>
          <w:lang w:val="pt-BR"/>
        </w:rPr>
        <w:t>nesta mesma rede</w:t>
      </w:r>
      <w:r w:rsidRPr="00D5668C">
        <w:rPr>
          <w:lang w:val="pt-BR"/>
        </w:rPr>
        <w:t>.</w:t>
      </w:r>
    </w:p>
    <w:p w14:paraId="781BE8EB" w14:textId="4C73DD9C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O consumo a ser faturado na unidade consumidora onde se localiza a micro ou minigeração distribuída é a energia consumida, </w:t>
      </w:r>
      <w:proofErr w:type="spellStart"/>
      <w:r w:rsidRPr="00D5668C">
        <w:rPr>
          <w:lang w:val="pt-BR"/>
        </w:rPr>
        <w:t>deduzids</w:t>
      </w:r>
      <w:proofErr w:type="spellEnd"/>
      <w:r w:rsidRPr="00D5668C">
        <w:rPr>
          <w:lang w:val="pt-BR"/>
        </w:rPr>
        <w:t xml:space="preserve"> a energia injetada e eventual crédito de energia acumulado em ciclos de faturamentos anteriores.</w:t>
      </w:r>
    </w:p>
    <w:p w14:paraId="61C387D0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</w:p>
    <w:p w14:paraId="253E2DED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Exemplo de faturamento de uma instalação do Grupo B, onde a energia injetada foi menor que a energia fornecida pela </w:t>
      </w:r>
      <w:r w:rsidR="00BF7717">
        <w:rPr>
          <w:lang w:val="pt-BR"/>
        </w:rPr>
        <w:t>Distribuidora</w:t>
      </w:r>
      <w:r w:rsidRPr="00D5668C">
        <w:rPr>
          <w:lang w:val="pt-BR"/>
        </w:rPr>
        <w:t>:</w:t>
      </w:r>
    </w:p>
    <w:tbl>
      <w:tblPr>
        <w:tblW w:w="6840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93"/>
        <w:gridCol w:w="1207"/>
        <w:gridCol w:w="960"/>
      </w:tblGrid>
      <w:tr w:rsidR="0026768C" w:rsidRPr="00827D50" w14:paraId="2641C193" w14:textId="77777777" w:rsidTr="0098784A">
        <w:trPr>
          <w:trHeight w:val="300"/>
        </w:trPr>
        <w:tc>
          <w:tcPr>
            <w:tcW w:w="2980" w:type="dxa"/>
            <w:shd w:val="clear" w:color="auto" w:fill="8496B0" w:themeFill="text2" w:themeFillTint="99"/>
            <w:noWrap/>
            <w:vAlign w:val="bottom"/>
            <w:hideMark/>
          </w:tcPr>
          <w:p w14:paraId="5D749E22" w14:textId="77777777" w:rsidR="0026768C" w:rsidRPr="00827D50" w:rsidRDefault="00267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Leitura Geradora</w:t>
            </w:r>
          </w:p>
        </w:tc>
        <w:tc>
          <w:tcPr>
            <w:tcW w:w="1693" w:type="dxa"/>
            <w:shd w:val="clear" w:color="auto" w:fill="8496B0" w:themeFill="text2" w:themeFillTint="99"/>
            <w:noWrap/>
            <w:vAlign w:val="bottom"/>
          </w:tcPr>
          <w:p w14:paraId="5DE371AA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Leitura Anterior</w:t>
            </w:r>
          </w:p>
        </w:tc>
        <w:tc>
          <w:tcPr>
            <w:tcW w:w="1207" w:type="dxa"/>
            <w:shd w:val="clear" w:color="auto" w:fill="8496B0" w:themeFill="text2" w:themeFillTint="99"/>
            <w:noWrap/>
            <w:vAlign w:val="bottom"/>
            <w:hideMark/>
          </w:tcPr>
          <w:p w14:paraId="798C7580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 xml:space="preserve">Leitura </w:t>
            </w:r>
            <w:r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Atual</w:t>
            </w:r>
          </w:p>
        </w:tc>
        <w:tc>
          <w:tcPr>
            <w:tcW w:w="960" w:type="dxa"/>
            <w:shd w:val="clear" w:color="auto" w:fill="8496B0" w:themeFill="text2" w:themeFillTint="99"/>
            <w:noWrap/>
            <w:vAlign w:val="bottom"/>
            <w:hideMark/>
          </w:tcPr>
          <w:p w14:paraId="1C849B2D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KWh</w:t>
            </w:r>
          </w:p>
        </w:tc>
      </w:tr>
      <w:tr w:rsidR="0026768C" w:rsidRPr="00827D50" w14:paraId="083F096A" w14:textId="77777777" w:rsidTr="0098784A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43ABEF08" w14:textId="77777777" w:rsidR="0026768C" w:rsidRPr="00827D50" w:rsidRDefault="00267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Fornecida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14:paraId="35FDDC73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500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6FEF9BF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1.200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009A6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700</w:t>
            </w:r>
          </w:p>
        </w:tc>
      </w:tr>
      <w:tr w:rsidR="0026768C" w:rsidRPr="00827D50" w14:paraId="2E7CD819" w14:textId="77777777" w:rsidTr="0098784A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7558CE65" w14:textId="77777777" w:rsidR="0026768C" w:rsidRPr="00827D50" w:rsidRDefault="00267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Injetada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14:paraId="6AF2DCF1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650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2130B41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1.100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38046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450</w:t>
            </w:r>
          </w:p>
        </w:tc>
      </w:tr>
      <w:tr w:rsidR="0026768C" w:rsidRPr="00827D50" w14:paraId="7A331222" w14:textId="77777777" w:rsidTr="0098784A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067AF953" w14:textId="77777777" w:rsidR="0026768C" w:rsidRPr="00827D50" w:rsidRDefault="00267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Saldo - Energia Excedente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14:paraId="36BB8825" w14:textId="460C0A8E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362C69C" w14:textId="56FDB723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A4057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0</w:t>
            </w:r>
          </w:p>
        </w:tc>
      </w:tr>
    </w:tbl>
    <w:p w14:paraId="1BD78404" w14:textId="77777777" w:rsidR="002F475D" w:rsidRPr="00827D50" w:rsidRDefault="002F475D" w:rsidP="00E00060">
      <w:pPr>
        <w:spacing w:line="276" w:lineRule="auto"/>
        <w:jc w:val="both"/>
        <w:rPr>
          <w:lang w:val="pt-BR"/>
        </w:rPr>
      </w:pPr>
    </w:p>
    <w:p w14:paraId="33AAFEB7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>Em sua conta de energia você terá o faturamento dos itens abaixo:</w:t>
      </w:r>
    </w:p>
    <w:tbl>
      <w:tblPr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813"/>
      </w:tblGrid>
      <w:tr w:rsidR="00D5668C" w:rsidRPr="00827D50" w14:paraId="453D6E5C" w14:textId="77777777" w:rsidTr="0098784A">
        <w:trPr>
          <w:trHeight w:val="300"/>
        </w:trPr>
        <w:tc>
          <w:tcPr>
            <w:tcW w:w="0" w:type="auto"/>
            <w:shd w:val="clear" w:color="auto" w:fill="8496B0" w:themeFill="text2" w:themeFillTint="99"/>
            <w:noWrap/>
            <w:vAlign w:val="bottom"/>
            <w:hideMark/>
          </w:tcPr>
          <w:p w14:paraId="41FA7DDC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Faturamento Geradora</w:t>
            </w:r>
          </w:p>
        </w:tc>
        <w:tc>
          <w:tcPr>
            <w:tcW w:w="813" w:type="dxa"/>
            <w:shd w:val="clear" w:color="auto" w:fill="8496B0" w:themeFill="text2" w:themeFillTint="99"/>
            <w:noWrap/>
            <w:vAlign w:val="bottom"/>
            <w:hideMark/>
          </w:tcPr>
          <w:p w14:paraId="41BB306C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kWh</w:t>
            </w:r>
          </w:p>
        </w:tc>
      </w:tr>
      <w:tr w:rsidR="00D5668C" w:rsidRPr="00827D50" w14:paraId="0DFFA3FB" w14:textId="77777777" w:rsidTr="009878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F9211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Fornecida - TUSD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0537D6E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700</w:t>
            </w:r>
          </w:p>
        </w:tc>
      </w:tr>
      <w:tr w:rsidR="00D5668C" w:rsidRPr="00827D50" w14:paraId="2B7AF504" w14:textId="77777777" w:rsidTr="009878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27E72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Fornecida - TE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8F99FF9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700</w:t>
            </w:r>
          </w:p>
        </w:tc>
      </w:tr>
      <w:tr w:rsidR="00D5668C" w:rsidRPr="00827D50" w14:paraId="324F82F8" w14:textId="77777777" w:rsidTr="009878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660F6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Injetada TUSD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0929449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-450</w:t>
            </w:r>
          </w:p>
        </w:tc>
      </w:tr>
      <w:tr w:rsidR="00D5668C" w:rsidRPr="00827D50" w14:paraId="29774494" w14:textId="77777777" w:rsidTr="009878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044C1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Injetada TE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B3A5FBB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-450</w:t>
            </w:r>
          </w:p>
        </w:tc>
      </w:tr>
    </w:tbl>
    <w:p w14:paraId="2A1703BC" w14:textId="77777777" w:rsidR="004625F7" w:rsidRDefault="004625F7" w:rsidP="00E00060">
      <w:pPr>
        <w:spacing w:line="276" w:lineRule="auto"/>
        <w:jc w:val="both"/>
        <w:rPr>
          <w:lang w:val="pt-BR"/>
        </w:rPr>
      </w:pPr>
    </w:p>
    <w:p w14:paraId="2F5BB427" w14:textId="0642AB3C" w:rsidR="004625F7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Neste segundo exemplo, se a energia injetada for superior à consumida, </w:t>
      </w:r>
      <w:r w:rsidR="00AF277C">
        <w:rPr>
          <w:lang w:val="pt-BR"/>
        </w:rPr>
        <w:t xml:space="preserve">haverá </w:t>
      </w:r>
      <w:r w:rsidRPr="00D5668C">
        <w:rPr>
          <w:lang w:val="pt-BR"/>
        </w:rPr>
        <w:t>o excedente de energia</w:t>
      </w:r>
      <w:r w:rsidR="00BF7717">
        <w:rPr>
          <w:lang w:val="pt-BR"/>
        </w:rPr>
        <w:t xml:space="preserve">. </w:t>
      </w:r>
      <w:r w:rsidR="00AF277C">
        <w:rPr>
          <w:lang w:val="pt-BR"/>
        </w:rPr>
        <w:t>C</w:t>
      </w:r>
      <w:r w:rsidRPr="00D5668C">
        <w:rPr>
          <w:lang w:val="pt-BR"/>
        </w:rPr>
        <w:t>omo a compensação de energia será total, haverá o faturame</w:t>
      </w:r>
      <w:r w:rsidR="00AF277C">
        <w:rPr>
          <w:lang w:val="pt-BR"/>
        </w:rPr>
        <w:t>nto do custo de disponibilidade, sendo neste exemplo uma instalação trifásica, com custo de disponibilidade equivalente a 100kWh</w:t>
      </w:r>
      <w:r w:rsidRPr="00D5668C">
        <w:rPr>
          <w:lang w:val="pt-BR"/>
        </w:rPr>
        <w:t>.</w:t>
      </w:r>
    </w:p>
    <w:tbl>
      <w:tblPr>
        <w:tblW w:w="6840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890"/>
        <w:gridCol w:w="661"/>
        <w:gridCol w:w="1349"/>
        <w:gridCol w:w="960"/>
      </w:tblGrid>
      <w:tr w:rsidR="00D5668C" w:rsidRPr="00827D50" w14:paraId="0AD579D8" w14:textId="77777777" w:rsidTr="0098784A">
        <w:trPr>
          <w:trHeight w:val="300"/>
        </w:trPr>
        <w:tc>
          <w:tcPr>
            <w:tcW w:w="2980" w:type="dxa"/>
            <w:shd w:val="clear" w:color="auto" w:fill="8496B0" w:themeFill="text2" w:themeFillTint="99"/>
            <w:noWrap/>
            <w:vAlign w:val="bottom"/>
            <w:hideMark/>
          </w:tcPr>
          <w:p w14:paraId="6ABC97C0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Leitura Geradora</w:t>
            </w:r>
          </w:p>
        </w:tc>
        <w:tc>
          <w:tcPr>
            <w:tcW w:w="1551" w:type="dxa"/>
            <w:gridSpan w:val="2"/>
            <w:shd w:val="clear" w:color="auto" w:fill="8496B0" w:themeFill="text2" w:themeFillTint="99"/>
            <w:noWrap/>
            <w:vAlign w:val="bottom"/>
            <w:hideMark/>
          </w:tcPr>
          <w:p w14:paraId="601692B7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 xml:space="preserve">Leitura </w:t>
            </w:r>
            <w:r w:rsidR="0026768C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Anterior</w:t>
            </w:r>
          </w:p>
        </w:tc>
        <w:tc>
          <w:tcPr>
            <w:tcW w:w="1349" w:type="dxa"/>
            <w:shd w:val="clear" w:color="auto" w:fill="8496B0" w:themeFill="text2" w:themeFillTint="99"/>
            <w:noWrap/>
            <w:vAlign w:val="bottom"/>
            <w:hideMark/>
          </w:tcPr>
          <w:p w14:paraId="5D075AE2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 xml:space="preserve">Leitura </w:t>
            </w:r>
            <w:r w:rsidR="0026768C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Atual</w:t>
            </w:r>
          </w:p>
        </w:tc>
        <w:tc>
          <w:tcPr>
            <w:tcW w:w="960" w:type="dxa"/>
            <w:shd w:val="clear" w:color="auto" w:fill="8496B0" w:themeFill="text2" w:themeFillTint="99"/>
            <w:noWrap/>
            <w:vAlign w:val="bottom"/>
            <w:hideMark/>
          </w:tcPr>
          <w:p w14:paraId="7E367939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KWh</w:t>
            </w:r>
          </w:p>
        </w:tc>
      </w:tr>
      <w:tr w:rsidR="0026768C" w:rsidRPr="00827D50" w14:paraId="6D36FF07" w14:textId="77777777" w:rsidTr="0098784A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3AB009F1" w14:textId="77777777" w:rsidR="0026768C" w:rsidRPr="00827D50" w:rsidRDefault="00267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Fornecida</w:t>
            </w:r>
          </w:p>
        </w:tc>
        <w:tc>
          <w:tcPr>
            <w:tcW w:w="1551" w:type="dxa"/>
            <w:gridSpan w:val="2"/>
            <w:shd w:val="clear" w:color="auto" w:fill="auto"/>
            <w:noWrap/>
            <w:vAlign w:val="bottom"/>
          </w:tcPr>
          <w:p w14:paraId="0E7A3E6B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500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2B93683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1.200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CF671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700</w:t>
            </w:r>
          </w:p>
        </w:tc>
      </w:tr>
      <w:tr w:rsidR="0026768C" w:rsidRPr="00827D50" w14:paraId="3CE45C3B" w14:textId="77777777" w:rsidTr="0098784A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71E2A64D" w14:textId="77777777" w:rsidR="0026768C" w:rsidRPr="00827D50" w:rsidRDefault="00267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Injetada</w:t>
            </w:r>
          </w:p>
        </w:tc>
        <w:tc>
          <w:tcPr>
            <w:tcW w:w="1551" w:type="dxa"/>
            <w:gridSpan w:val="2"/>
            <w:shd w:val="clear" w:color="auto" w:fill="auto"/>
            <w:noWrap/>
            <w:vAlign w:val="bottom"/>
          </w:tcPr>
          <w:p w14:paraId="1F12D46E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650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306C4E90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1.500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EB28B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850</w:t>
            </w:r>
          </w:p>
        </w:tc>
      </w:tr>
      <w:tr w:rsidR="0026768C" w:rsidRPr="00827D50" w14:paraId="02DA7BD6" w14:textId="77777777" w:rsidTr="0098784A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1FB32631" w14:textId="77777777" w:rsidR="0026768C" w:rsidRPr="00827D50" w:rsidRDefault="00267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Saldo - Energia Excedente</w:t>
            </w:r>
          </w:p>
        </w:tc>
        <w:tc>
          <w:tcPr>
            <w:tcW w:w="1551" w:type="dxa"/>
            <w:gridSpan w:val="2"/>
            <w:shd w:val="clear" w:color="auto" w:fill="auto"/>
            <w:noWrap/>
            <w:vAlign w:val="bottom"/>
            <w:hideMark/>
          </w:tcPr>
          <w:p w14:paraId="36CCE8B6" w14:textId="5E67937A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6E086FD2" w14:textId="4691A063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6C618" w14:textId="77777777" w:rsidR="0026768C" w:rsidRPr="00827D50" w:rsidRDefault="00267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150</w:t>
            </w:r>
          </w:p>
        </w:tc>
      </w:tr>
      <w:tr w:rsidR="00D5668C" w:rsidRPr="00827D50" w14:paraId="02FB5F22" w14:textId="77777777" w:rsidTr="0098784A">
        <w:trPr>
          <w:gridAfter w:val="3"/>
          <w:wAfter w:w="3301" w:type="dxa"/>
          <w:trHeight w:val="300"/>
        </w:trPr>
        <w:tc>
          <w:tcPr>
            <w:tcW w:w="0" w:type="auto"/>
            <w:shd w:val="clear" w:color="auto" w:fill="8496B0" w:themeFill="text2" w:themeFillTint="99"/>
            <w:noWrap/>
            <w:vAlign w:val="bottom"/>
            <w:hideMark/>
          </w:tcPr>
          <w:p w14:paraId="6E63805A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Faturamento Geradora</w:t>
            </w:r>
          </w:p>
        </w:tc>
        <w:tc>
          <w:tcPr>
            <w:tcW w:w="890" w:type="dxa"/>
            <w:shd w:val="clear" w:color="auto" w:fill="8496B0" w:themeFill="text2" w:themeFillTint="99"/>
            <w:noWrap/>
            <w:vAlign w:val="bottom"/>
            <w:hideMark/>
          </w:tcPr>
          <w:p w14:paraId="7A3FF733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kWh</w:t>
            </w:r>
          </w:p>
        </w:tc>
      </w:tr>
      <w:tr w:rsidR="00D5668C" w:rsidRPr="00827D50" w14:paraId="46E53185" w14:textId="77777777" w:rsidTr="0098784A">
        <w:trPr>
          <w:gridAfter w:val="3"/>
          <w:wAfter w:w="3301" w:type="dxa"/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D5BB8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Fornecida - TUSD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4345672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700</w:t>
            </w:r>
          </w:p>
        </w:tc>
      </w:tr>
      <w:tr w:rsidR="00D5668C" w:rsidRPr="00827D50" w14:paraId="739B7F49" w14:textId="77777777" w:rsidTr="0098784A">
        <w:trPr>
          <w:gridAfter w:val="3"/>
          <w:wAfter w:w="3301" w:type="dxa"/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98771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Fornecida - TE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FBDE8DF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700</w:t>
            </w:r>
          </w:p>
        </w:tc>
      </w:tr>
      <w:tr w:rsidR="00D5668C" w:rsidRPr="00827D50" w14:paraId="18FD7708" w14:textId="77777777" w:rsidTr="0098784A">
        <w:trPr>
          <w:gridAfter w:val="3"/>
          <w:wAfter w:w="3301" w:type="dxa"/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F1047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Injetada TUSD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2D037E7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-700</w:t>
            </w:r>
          </w:p>
        </w:tc>
      </w:tr>
      <w:tr w:rsidR="00D5668C" w:rsidRPr="00827D50" w14:paraId="3EABE4F3" w14:textId="77777777" w:rsidTr="0098784A">
        <w:trPr>
          <w:gridAfter w:val="3"/>
          <w:wAfter w:w="3301" w:type="dxa"/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C26C7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lastRenderedPageBreak/>
              <w:t>Energia Ativa Injetada TE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8F874F7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-700</w:t>
            </w:r>
          </w:p>
        </w:tc>
      </w:tr>
      <w:tr w:rsidR="00D5668C" w:rsidRPr="00827D50" w14:paraId="2839A5FF" w14:textId="77777777" w:rsidTr="0098784A">
        <w:trPr>
          <w:gridAfter w:val="3"/>
          <w:wAfter w:w="3301" w:type="dxa"/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B011D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 xml:space="preserve">Custo de </w:t>
            </w:r>
            <w:proofErr w:type="spellStart"/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Disp</w:t>
            </w:r>
            <w:proofErr w:type="spellEnd"/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. Energia TUSD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0E69047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100</w:t>
            </w:r>
          </w:p>
        </w:tc>
      </w:tr>
      <w:tr w:rsidR="00D5668C" w:rsidRPr="00827D50" w14:paraId="0D82509D" w14:textId="77777777" w:rsidTr="0098784A">
        <w:trPr>
          <w:gridAfter w:val="3"/>
          <w:wAfter w:w="3301" w:type="dxa"/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1F5F0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 xml:space="preserve">Custo de </w:t>
            </w:r>
            <w:proofErr w:type="spellStart"/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Disp</w:t>
            </w:r>
            <w:proofErr w:type="spellEnd"/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. Energia - TE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E64D669" w14:textId="77777777" w:rsidR="00D5668C" w:rsidRPr="00827D50" w:rsidRDefault="00D5668C" w:rsidP="003E3FD7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100</w:t>
            </w:r>
          </w:p>
        </w:tc>
      </w:tr>
    </w:tbl>
    <w:p w14:paraId="5B5B6209" w14:textId="77777777" w:rsidR="00D5668C" w:rsidRDefault="00D5668C" w:rsidP="00E00060">
      <w:pPr>
        <w:spacing w:line="276" w:lineRule="auto"/>
        <w:jc w:val="both"/>
      </w:pPr>
    </w:p>
    <w:p w14:paraId="5BCCECA7" w14:textId="77777777" w:rsidR="00D5668C" w:rsidRPr="00D5668C" w:rsidRDefault="00AF277C" w:rsidP="00E00060"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Neste exemplo, houve </w:t>
      </w:r>
      <w:r w:rsidR="00D5668C" w:rsidRPr="00D5668C">
        <w:rPr>
          <w:lang w:val="pt-BR"/>
        </w:rPr>
        <w:t xml:space="preserve">saldo de energia excedente, </w:t>
      </w:r>
      <w:r>
        <w:rPr>
          <w:lang w:val="pt-BR"/>
        </w:rPr>
        <w:t>que</w:t>
      </w:r>
      <w:r w:rsidR="00D5668C" w:rsidRPr="00D5668C">
        <w:rPr>
          <w:lang w:val="pt-BR"/>
        </w:rPr>
        <w:t xml:space="preserve"> será compensado em conta futura, ou caso essa instalação</w:t>
      </w:r>
      <w:r>
        <w:rPr>
          <w:lang w:val="pt-BR"/>
        </w:rPr>
        <w:t xml:space="preserve"> geradora</w:t>
      </w:r>
      <w:r w:rsidR="00D5668C" w:rsidRPr="00D5668C">
        <w:rPr>
          <w:lang w:val="pt-BR"/>
        </w:rPr>
        <w:t xml:space="preserve"> </w:t>
      </w:r>
      <w:r>
        <w:rPr>
          <w:lang w:val="pt-BR"/>
        </w:rPr>
        <w:t>tenha beneficiárias de energia o</w:t>
      </w:r>
      <w:r w:rsidR="00161627">
        <w:rPr>
          <w:lang w:val="pt-BR"/>
        </w:rPr>
        <w:t xml:space="preserve"> </w:t>
      </w:r>
      <w:r>
        <w:rPr>
          <w:lang w:val="pt-BR"/>
        </w:rPr>
        <w:t>saldo será distribuído</w:t>
      </w:r>
      <w:r w:rsidR="00D5668C" w:rsidRPr="00D5668C">
        <w:rPr>
          <w:lang w:val="pt-BR"/>
        </w:rPr>
        <w:t>, conforme percentual definido pelo titular da unidade geradora.</w:t>
      </w:r>
    </w:p>
    <w:p w14:paraId="5F9FA665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>Os créditos de energia uma vez alocados para as unidades consumidoras, participantes do sistema de compensação de energia elétrica (geradoras e beneficiárias), após encerramento da compensação de energia dentro do mesmo ciclo de faturamento, devem permanecer para as unidades consumidoras a que foram destinados.</w:t>
      </w:r>
    </w:p>
    <w:p w14:paraId="6BFF0282" w14:textId="42BB0EFF" w:rsidR="00D5668C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Como ocorre a compensação de energia em postos horários diferentes ao da geração?</w:t>
      </w:r>
      <w:r w:rsidR="00351AAF">
        <w:rPr>
          <w:color w:val="FF0000"/>
        </w:rPr>
        <w:t xml:space="preserve"> </w:t>
      </w:r>
    </w:p>
    <w:p w14:paraId="311034E8" w14:textId="77777777" w:rsidR="00957BB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A energia injetada deverá ser compensada primeiramente no </w:t>
      </w:r>
      <w:r w:rsidR="00957BBC">
        <w:rPr>
          <w:lang w:val="pt-BR"/>
        </w:rPr>
        <w:t>posto horário em que foi gerada, havendo</w:t>
      </w:r>
      <w:r w:rsidRPr="00D5668C">
        <w:rPr>
          <w:lang w:val="pt-BR"/>
        </w:rPr>
        <w:t xml:space="preserve"> saldo de energia essa compensação poderá ocorre</w:t>
      </w:r>
      <w:r w:rsidR="00957BBC">
        <w:rPr>
          <w:lang w:val="pt-BR"/>
        </w:rPr>
        <w:t>r em um posto horário diferente.</w:t>
      </w:r>
    </w:p>
    <w:p w14:paraId="55CA6F89" w14:textId="35F05084" w:rsidR="00D5668C" w:rsidRPr="00D5668C" w:rsidRDefault="00957BBC" w:rsidP="00E00060">
      <w:pPr>
        <w:spacing w:line="276" w:lineRule="auto"/>
        <w:jc w:val="both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D</w:t>
      </w:r>
      <w:r w:rsidR="00D5668C" w:rsidRPr="00D5668C">
        <w:rPr>
          <w:sz w:val="23"/>
          <w:szCs w:val="23"/>
          <w:lang w:val="pt-BR"/>
        </w:rPr>
        <w:t>everá ser observada a relação dos valores das tarifas de energia – TE (R$/MWh), publicadas nas Resoluções Homologatórias</w:t>
      </w:r>
      <w:r w:rsidR="002F475D">
        <w:rPr>
          <w:sz w:val="23"/>
          <w:szCs w:val="23"/>
          <w:lang w:val="pt-BR"/>
        </w:rPr>
        <w:t xml:space="preserve"> ANEEL,</w:t>
      </w:r>
      <w:r w:rsidR="00D5668C" w:rsidRPr="00D5668C">
        <w:rPr>
          <w:sz w:val="23"/>
          <w:szCs w:val="23"/>
          <w:lang w:val="pt-BR"/>
        </w:rPr>
        <w:t xml:space="preserve"> que </w:t>
      </w:r>
      <w:r>
        <w:rPr>
          <w:sz w:val="23"/>
          <w:szCs w:val="23"/>
          <w:lang w:val="pt-BR"/>
        </w:rPr>
        <w:t>aprovam os processos tarifários.</w:t>
      </w:r>
    </w:p>
    <w:p w14:paraId="5225D101" w14:textId="5C68FCE7" w:rsidR="00D5668C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Como ocorre a compensação de energia na unidade beneficiária?</w:t>
      </w:r>
      <w:r w:rsidR="00351AAF">
        <w:rPr>
          <w:color w:val="FF0000"/>
        </w:rPr>
        <w:t xml:space="preserve"> </w:t>
      </w:r>
    </w:p>
    <w:p w14:paraId="0FD00555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A energia excedente de uma unidade geradora pode ser compensada em instalações beneficiárias. </w:t>
      </w:r>
    </w:p>
    <w:p w14:paraId="3A694BEC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>Após o faturamento da unidade geradora, havendo excedente de energia, esse será destinado as unidades beneficiárias.</w:t>
      </w:r>
    </w:p>
    <w:p w14:paraId="74925F7E" w14:textId="77777777" w:rsidR="00D5668C" w:rsidRDefault="00C45B16" w:rsidP="00E00060">
      <w:pPr>
        <w:pStyle w:val="ListParagraph"/>
        <w:numPr>
          <w:ilvl w:val="0"/>
          <w:numId w:val="3"/>
        </w:numPr>
        <w:spacing w:line="276" w:lineRule="auto"/>
        <w:ind w:left="360"/>
        <w:jc w:val="both"/>
      </w:pPr>
      <w:r>
        <w:t>A</w:t>
      </w:r>
      <w:r w:rsidR="00D5668C">
        <w:t xml:space="preserve">s beneficiárias receberão sua parcela, de acordo com o percentual definido. </w:t>
      </w:r>
    </w:p>
    <w:p w14:paraId="2E665EE8" w14:textId="77777777" w:rsidR="00D5668C" w:rsidRDefault="00D5668C" w:rsidP="00E00060">
      <w:pPr>
        <w:pStyle w:val="ListParagraph"/>
        <w:numPr>
          <w:ilvl w:val="0"/>
          <w:numId w:val="3"/>
        </w:numPr>
        <w:spacing w:line="276" w:lineRule="auto"/>
        <w:ind w:left="360"/>
        <w:jc w:val="both"/>
      </w:pPr>
      <w:r>
        <w:t xml:space="preserve">Se o faturamento da unidade geradora ocorrer antes do faturamento da beneficiária, o saldo poderá ser compensado dentro do mesmo mês, caso contrário, será compensado no </w:t>
      </w:r>
    </w:p>
    <w:p w14:paraId="2853C71F" w14:textId="77777777" w:rsidR="00D5668C" w:rsidRDefault="00D5668C" w:rsidP="00E00060">
      <w:pPr>
        <w:pStyle w:val="ListParagraph"/>
        <w:spacing w:line="276" w:lineRule="auto"/>
        <w:ind w:left="360"/>
        <w:jc w:val="both"/>
      </w:pPr>
      <w:r>
        <w:t>mês seguinte, conforme exemplos abaixo:</w:t>
      </w:r>
    </w:p>
    <w:p w14:paraId="310AA5C3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>Exemplo de beneficiária de 100% do saldo de energia excedente da unidade geradora:</w:t>
      </w:r>
    </w:p>
    <w:tbl>
      <w:tblPr>
        <w:tblW w:w="6840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551"/>
        <w:gridCol w:w="1349"/>
        <w:gridCol w:w="960"/>
      </w:tblGrid>
      <w:tr w:rsidR="00D5668C" w:rsidRPr="00827D50" w14:paraId="006CA191" w14:textId="77777777" w:rsidTr="0098784A">
        <w:trPr>
          <w:trHeight w:val="300"/>
        </w:trPr>
        <w:tc>
          <w:tcPr>
            <w:tcW w:w="2980" w:type="dxa"/>
            <w:shd w:val="clear" w:color="auto" w:fill="8496B0" w:themeFill="text2" w:themeFillTint="99"/>
            <w:noWrap/>
            <w:vAlign w:val="bottom"/>
            <w:hideMark/>
          </w:tcPr>
          <w:p w14:paraId="0085F7D8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Leitura Beneficiária</w:t>
            </w:r>
          </w:p>
        </w:tc>
        <w:tc>
          <w:tcPr>
            <w:tcW w:w="1551" w:type="dxa"/>
            <w:shd w:val="clear" w:color="auto" w:fill="8496B0" w:themeFill="text2" w:themeFillTint="99"/>
            <w:noWrap/>
            <w:vAlign w:val="bottom"/>
          </w:tcPr>
          <w:p w14:paraId="2E81D051" w14:textId="77777777" w:rsidR="00D5668C" w:rsidRPr="00827D50" w:rsidRDefault="00267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Leitura Anterior</w:t>
            </w:r>
          </w:p>
        </w:tc>
        <w:tc>
          <w:tcPr>
            <w:tcW w:w="1349" w:type="dxa"/>
            <w:shd w:val="clear" w:color="auto" w:fill="8496B0" w:themeFill="text2" w:themeFillTint="99"/>
            <w:noWrap/>
            <w:vAlign w:val="bottom"/>
            <w:hideMark/>
          </w:tcPr>
          <w:p w14:paraId="45218BC4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 xml:space="preserve">Leitura </w:t>
            </w:r>
            <w:r w:rsidR="0026768C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Atual</w:t>
            </w:r>
          </w:p>
        </w:tc>
        <w:tc>
          <w:tcPr>
            <w:tcW w:w="960" w:type="dxa"/>
            <w:shd w:val="clear" w:color="auto" w:fill="8496B0" w:themeFill="text2" w:themeFillTint="99"/>
            <w:noWrap/>
            <w:vAlign w:val="bottom"/>
            <w:hideMark/>
          </w:tcPr>
          <w:p w14:paraId="32FBC977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KWh</w:t>
            </w:r>
          </w:p>
        </w:tc>
      </w:tr>
      <w:tr w:rsidR="00D5668C" w:rsidRPr="00827D50" w14:paraId="19E29D0D" w14:textId="77777777" w:rsidTr="0098784A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627EE827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Fornecida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399D0E04" w14:textId="77777777" w:rsidR="00D5668C" w:rsidRPr="00827D50" w:rsidRDefault="00267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500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592F7955" w14:textId="77777777" w:rsidR="00D5668C" w:rsidRPr="00827D50" w:rsidRDefault="00267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E8F78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400</w:t>
            </w:r>
          </w:p>
        </w:tc>
      </w:tr>
    </w:tbl>
    <w:p w14:paraId="25AFC6E1" w14:textId="77777777" w:rsidR="00D5668C" w:rsidRDefault="00D5668C" w:rsidP="00E00060">
      <w:pPr>
        <w:spacing w:line="276" w:lineRule="auto"/>
        <w:jc w:val="both"/>
      </w:pPr>
    </w:p>
    <w:p w14:paraId="7615785D" w14:textId="5F4DA13B" w:rsidR="00027A45" w:rsidRPr="00027A45" w:rsidRDefault="00027A45" w:rsidP="00E00060">
      <w:pPr>
        <w:spacing w:line="276" w:lineRule="auto"/>
        <w:jc w:val="both"/>
        <w:rPr>
          <w:lang w:val="pt-BR"/>
        </w:rPr>
      </w:pPr>
      <w:r w:rsidRPr="00027A45">
        <w:rPr>
          <w:lang w:val="pt-BR"/>
        </w:rPr>
        <w:lastRenderedPageBreak/>
        <w:t>Saldo destinado a beneficiária foi de 150kWh.</w:t>
      </w:r>
    </w:p>
    <w:tbl>
      <w:tblPr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748"/>
      </w:tblGrid>
      <w:tr w:rsidR="00D5668C" w:rsidRPr="00827D50" w14:paraId="2B8F31A8" w14:textId="77777777" w:rsidTr="0098784A">
        <w:trPr>
          <w:trHeight w:val="300"/>
        </w:trPr>
        <w:tc>
          <w:tcPr>
            <w:tcW w:w="0" w:type="auto"/>
            <w:shd w:val="clear" w:color="auto" w:fill="8496B0" w:themeFill="text2" w:themeFillTint="99"/>
            <w:noWrap/>
            <w:vAlign w:val="bottom"/>
            <w:hideMark/>
          </w:tcPr>
          <w:p w14:paraId="30B77FAC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Faturamento Beneficiária</w:t>
            </w:r>
          </w:p>
        </w:tc>
        <w:tc>
          <w:tcPr>
            <w:tcW w:w="748" w:type="dxa"/>
            <w:shd w:val="clear" w:color="auto" w:fill="8496B0" w:themeFill="text2" w:themeFillTint="99"/>
            <w:noWrap/>
            <w:vAlign w:val="bottom"/>
            <w:hideMark/>
          </w:tcPr>
          <w:p w14:paraId="0AA9B4F1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FFFFFF"/>
                <w:sz w:val="20"/>
                <w:lang w:val="pt-BR" w:eastAsia="pt-BR"/>
              </w:rPr>
              <w:t>kWh</w:t>
            </w:r>
          </w:p>
        </w:tc>
      </w:tr>
      <w:tr w:rsidR="00D5668C" w:rsidRPr="00827D50" w14:paraId="05C1A39E" w14:textId="77777777" w:rsidTr="009878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0C509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Fornecida - TUSD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443BD4B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400</w:t>
            </w:r>
          </w:p>
        </w:tc>
      </w:tr>
      <w:tr w:rsidR="00D5668C" w:rsidRPr="00827D50" w14:paraId="45E21F0E" w14:textId="77777777" w:rsidTr="009878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E8ECE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Energia Ativa Fornecida - TE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73A96DB1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400</w:t>
            </w:r>
          </w:p>
        </w:tc>
      </w:tr>
      <w:tr w:rsidR="00D5668C" w:rsidRPr="00827D50" w14:paraId="3A0429CB" w14:textId="77777777" w:rsidTr="009878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E2A64" w14:textId="77777777" w:rsidR="00D5668C" w:rsidRPr="00A03CDE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spellStart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Energ</w:t>
            </w:r>
            <w:proofErr w:type="spellEnd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Atv</w:t>
            </w:r>
            <w:proofErr w:type="spellEnd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Inj. </w:t>
            </w:r>
            <w:proofErr w:type="spellStart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oUC</w:t>
            </w:r>
            <w:proofErr w:type="spellEnd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mPT</w:t>
            </w:r>
            <w:proofErr w:type="spellEnd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- TUSD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63CEAB0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-150</w:t>
            </w:r>
          </w:p>
        </w:tc>
      </w:tr>
      <w:tr w:rsidR="00D5668C" w:rsidRPr="00827D50" w14:paraId="486FADD3" w14:textId="77777777" w:rsidTr="009878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43201" w14:textId="77777777" w:rsidR="00D5668C" w:rsidRPr="00A03CDE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spellStart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Energ</w:t>
            </w:r>
            <w:proofErr w:type="spellEnd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Atv</w:t>
            </w:r>
            <w:proofErr w:type="spellEnd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Inj. </w:t>
            </w:r>
            <w:proofErr w:type="spellStart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oUC</w:t>
            </w:r>
            <w:proofErr w:type="spellEnd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mPT</w:t>
            </w:r>
            <w:proofErr w:type="spellEnd"/>
            <w:r w:rsidRPr="00A03CD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- TE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DBF215D" w14:textId="77777777" w:rsidR="00D5668C" w:rsidRPr="00827D50" w:rsidRDefault="00D5668C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</w:pPr>
            <w:r w:rsidRPr="00827D50">
              <w:rPr>
                <w:rFonts w:ascii="Calibri" w:eastAsia="Times New Roman" w:hAnsi="Calibri" w:cs="Times New Roman"/>
                <w:color w:val="000000"/>
                <w:sz w:val="20"/>
                <w:lang w:val="pt-BR" w:eastAsia="pt-BR"/>
              </w:rPr>
              <w:t>-150</w:t>
            </w:r>
          </w:p>
        </w:tc>
      </w:tr>
    </w:tbl>
    <w:p w14:paraId="7F6C449A" w14:textId="77777777" w:rsidR="00D5668C" w:rsidRDefault="00D5668C" w:rsidP="00E00060">
      <w:pPr>
        <w:spacing w:line="276" w:lineRule="auto"/>
        <w:jc w:val="both"/>
      </w:pPr>
    </w:p>
    <w:p w14:paraId="7790B6B0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Neste exemplo </w:t>
      </w:r>
      <w:r w:rsidR="00027A45">
        <w:rPr>
          <w:lang w:val="pt-BR"/>
        </w:rPr>
        <w:t>o saldo recebido da unidade geradora foi de 150 kWh, na conta</w:t>
      </w:r>
      <w:r w:rsidRPr="00D5668C">
        <w:rPr>
          <w:lang w:val="pt-BR"/>
        </w:rPr>
        <w:t xml:space="preserve"> a descrição do item de faturamento </w:t>
      </w:r>
      <w:r w:rsidR="00027A45">
        <w:rPr>
          <w:lang w:val="pt-BR"/>
        </w:rPr>
        <w:t>foi</w:t>
      </w:r>
      <w:r w:rsidRPr="00D5668C">
        <w:rPr>
          <w:lang w:val="pt-BR"/>
        </w:rPr>
        <w:t>:</w:t>
      </w:r>
    </w:p>
    <w:p w14:paraId="05BD69C3" w14:textId="77777777" w:rsidR="00D5668C" w:rsidRPr="00027A45" w:rsidRDefault="00D5668C" w:rsidP="00E00060">
      <w:pPr>
        <w:pStyle w:val="ListParagraph"/>
        <w:numPr>
          <w:ilvl w:val="0"/>
          <w:numId w:val="5"/>
        </w:numPr>
        <w:spacing w:line="276" w:lineRule="auto"/>
        <w:jc w:val="both"/>
      </w:pPr>
      <w:proofErr w:type="spellStart"/>
      <w:r w:rsidRPr="00027A45">
        <w:rPr>
          <w:rFonts w:ascii="Calibri" w:eastAsia="Times New Roman" w:hAnsi="Calibri" w:cs="Times New Roman"/>
          <w:color w:val="000000"/>
          <w:lang w:eastAsia="pt-BR"/>
        </w:rPr>
        <w:t>Energ</w:t>
      </w:r>
      <w:proofErr w:type="spellEnd"/>
      <w:r w:rsidRPr="00027A45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spellStart"/>
      <w:r w:rsidRPr="00027A45">
        <w:rPr>
          <w:rFonts w:ascii="Calibri" w:eastAsia="Times New Roman" w:hAnsi="Calibri" w:cs="Times New Roman"/>
          <w:color w:val="000000"/>
          <w:lang w:eastAsia="pt-BR"/>
        </w:rPr>
        <w:t>Atv</w:t>
      </w:r>
      <w:proofErr w:type="spellEnd"/>
      <w:r w:rsidRPr="00027A45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spellStart"/>
      <w:r w:rsidRPr="00027A45">
        <w:rPr>
          <w:rFonts w:ascii="Calibri" w:eastAsia="Times New Roman" w:hAnsi="Calibri" w:cs="Times New Roman"/>
          <w:color w:val="000000"/>
          <w:lang w:eastAsia="pt-BR"/>
        </w:rPr>
        <w:t>Inj</w:t>
      </w:r>
      <w:proofErr w:type="spellEnd"/>
      <w:r w:rsidRPr="00027A45">
        <w:rPr>
          <w:rFonts w:ascii="Calibri" w:eastAsia="Times New Roman" w:hAnsi="Calibri" w:cs="Times New Roman"/>
          <w:color w:val="000000"/>
          <w:lang w:eastAsia="pt-BR"/>
        </w:rPr>
        <w:t xml:space="preserve">. </w:t>
      </w:r>
      <w:proofErr w:type="spellStart"/>
      <w:r w:rsidRPr="00027A45">
        <w:rPr>
          <w:rFonts w:ascii="Calibri" w:eastAsia="Times New Roman" w:hAnsi="Calibri" w:cs="Times New Roman"/>
          <w:color w:val="000000"/>
          <w:lang w:eastAsia="pt-BR"/>
        </w:rPr>
        <w:t>oUC</w:t>
      </w:r>
      <w:proofErr w:type="spellEnd"/>
      <w:r w:rsidRPr="00027A45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spellStart"/>
      <w:proofErr w:type="gramStart"/>
      <w:r w:rsidRPr="00027A45">
        <w:rPr>
          <w:rFonts w:ascii="Calibri" w:eastAsia="Times New Roman" w:hAnsi="Calibri" w:cs="Times New Roman"/>
          <w:color w:val="000000"/>
          <w:lang w:eastAsia="pt-BR"/>
        </w:rPr>
        <w:t>mPT</w:t>
      </w:r>
      <w:proofErr w:type="spellEnd"/>
      <w:r w:rsidRPr="00027A45">
        <w:rPr>
          <w:rFonts w:ascii="Calibri" w:eastAsia="Times New Roman" w:hAnsi="Calibri" w:cs="Times New Roman"/>
          <w:color w:val="000000"/>
          <w:lang w:eastAsia="pt-BR"/>
        </w:rPr>
        <w:t xml:space="preserve"> :</w:t>
      </w:r>
      <w:proofErr w:type="gramEnd"/>
      <w:r w:rsidRPr="00027A45">
        <w:rPr>
          <w:rFonts w:ascii="Calibri" w:eastAsia="Times New Roman" w:hAnsi="Calibri" w:cs="Times New Roman"/>
          <w:color w:val="000000"/>
          <w:lang w:eastAsia="pt-BR"/>
        </w:rPr>
        <w:t xml:space="preserve"> Energia injetada por outra unidade consumidora e para o mesmo po</w:t>
      </w:r>
      <w:r w:rsidR="00027A45">
        <w:rPr>
          <w:rFonts w:ascii="Calibri" w:eastAsia="Times New Roman" w:hAnsi="Calibri" w:cs="Times New Roman"/>
          <w:color w:val="000000"/>
          <w:lang w:eastAsia="pt-BR"/>
        </w:rPr>
        <w:t>s</w:t>
      </w:r>
      <w:r w:rsidRPr="00027A45">
        <w:rPr>
          <w:rFonts w:ascii="Calibri" w:eastAsia="Times New Roman" w:hAnsi="Calibri" w:cs="Times New Roman"/>
          <w:color w:val="000000"/>
          <w:lang w:eastAsia="pt-BR"/>
        </w:rPr>
        <w:t>to horário.</w:t>
      </w:r>
    </w:p>
    <w:p w14:paraId="4E8F2000" w14:textId="45D97793" w:rsidR="00D5668C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Qual o prazo para compensação do saldo de energia injetada?</w:t>
      </w:r>
      <w:r w:rsidR="00351AAF">
        <w:rPr>
          <w:color w:val="FF0000"/>
        </w:rPr>
        <w:t xml:space="preserve"> </w:t>
      </w:r>
    </w:p>
    <w:p w14:paraId="63CB88BF" w14:textId="77777777" w:rsidR="0076604A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Os créditos de energia ativa expiram em 60 (sessenta) meses </w:t>
      </w:r>
      <w:r w:rsidR="0076604A">
        <w:rPr>
          <w:lang w:val="pt-BR"/>
        </w:rPr>
        <w:t>após a data do faturamento.</w:t>
      </w:r>
    </w:p>
    <w:p w14:paraId="124A050B" w14:textId="79156BE7" w:rsidR="00D5668C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Havendo encerramento da relação contratual, como utilizar o saldo de energia acumulado?</w:t>
      </w:r>
      <w:r w:rsidR="00351AAF">
        <w:rPr>
          <w:color w:val="FF0000"/>
        </w:rPr>
        <w:t xml:space="preserve"> </w:t>
      </w:r>
    </w:p>
    <w:p w14:paraId="3CB041ED" w14:textId="6502A92B" w:rsid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Eventuais créditos de energia ativa existentes no momento do encerramento da relação contratual do </w:t>
      </w:r>
      <w:r w:rsidR="00EE16D1">
        <w:rPr>
          <w:lang w:val="pt-BR"/>
        </w:rPr>
        <w:t>cliente</w:t>
      </w:r>
      <w:r w:rsidR="00BF7717">
        <w:rPr>
          <w:lang w:val="pt-BR"/>
        </w:rPr>
        <w:t xml:space="preserve"> devem ser contabilizados pela D</w:t>
      </w:r>
      <w:r w:rsidRPr="00D5668C">
        <w:rPr>
          <w:lang w:val="pt-BR"/>
        </w:rPr>
        <w:t>istribuidora em nome do titular da respectiva unidade consumidora pelo prazo máximo de 60 (sessenta) meses após a data do faturamento, exceto se houver outra unidade consumidora sob a mesma titularidade e na mesma área de concessão, sendo permitida, nesse caso, a trans</w:t>
      </w:r>
      <w:r w:rsidR="0076604A">
        <w:rPr>
          <w:lang w:val="pt-BR"/>
        </w:rPr>
        <w:t xml:space="preserve">ferência dos créditos restantes. </w:t>
      </w:r>
    </w:p>
    <w:p w14:paraId="50DDED26" w14:textId="4E67CE90" w:rsidR="0076604A" w:rsidRDefault="0076604A" w:rsidP="00E00060"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O cliente deve entrar em contato com a </w:t>
      </w:r>
      <w:r w:rsidR="00EE16D1">
        <w:rPr>
          <w:lang w:val="pt-BR"/>
        </w:rPr>
        <w:t>CPFL</w:t>
      </w:r>
      <w:r>
        <w:rPr>
          <w:lang w:val="pt-BR"/>
        </w:rPr>
        <w:t xml:space="preserve"> informando em qual instalação este saldo deverá ser compensado.</w:t>
      </w:r>
    </w:p>
    <w:p w14:paraId="5CD5A76E" w14:textId="16F967F2" w:rsidR="00827D50" w:rsidRPr="00E57006" w:rsidRDefault="00827D50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Há cobrança de PIS e COFINS sobre a energia injetada?</w:t>
      </w:r>
    </w:p>
    <w:p w14:paraId="0B84FD0F" w14:textId="77777777" w:rsidR="00827D50" w:rsidRDefault="00827D50" w:rsidP="00E00060">
      <w:pPr>
        <w:spacing w:line="276" w:lineRule="auto"/>
        <w:jc w:val="both"/>
        <w:rPr>
          <w:lang w:val="pt-BR"/>
        </w:rPr>
      </w:pPr>
      <w:r w:rsidRPr="0027236D">
        <w:rPr>
          <w:lang w:val="pt-BR"/>
        </w:rPr>
        <w:t>A tarifa percebida pelos consumidores é composta por duas parcelas: Tarifas de Uso dos Sistemas de Distribuição (TUSD) e Tarifa de Energia (TE) e seus Tributos.</w:t>
      </w:r>
    </w:p>
    <w:p w14:paraId="07ECD09D" w14:textId="77777777" w:rsidR="00827D50" w:rsidRDefault="00827D50" w:rsidP="00E00060">
      <w:pPr>
        <w:spacing w:line="276" w:lineRule="auto"/>
        <w:jc w:val="both"/>
        <w:rPr>
          <w:lang w:val="pt-BR"/>
        </w:rPr>
      </w:pPr>
      <w:r w:rsidRPr="0027236D">
        <w:rPr>
          <w:lang w:val="pt-BR"/>
        </w:rPr>
        <w:t>As contribui</w:t>
      </w:r>
      <w:r>
        <w:rPr>
          <w:lang w:val="pt-BR"/>
        </w:rPr>
        <w:t xml:space="preserve">ções de PIS/PASEP e COFINS são </w:t>
      </w:r>
      <w:r w:rsidRPr="0027236D">
        <w:rPr>
          <w:lang w:val="pt-BR"/>
        </w:rPr>
        <w:t>regulamentadas pelo Governo Federal, o qual estabelece a aplicação de alíquota zero das referidas contribuições sobre a energia injetada.</w:t>
      </w:r>
    </w:p>
    <w:p w14:paraId="6988BB11" w14:textId="0D948D32" w:rsidR="00D5668C" w:rsidRPr="00E57006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lastRenderedPageBreak/>
        <w:t>Há cobrança de ICMS sobre a energia injetada?</w:t>
      </w:r>
      <w:r w:rsidR="00351AAF">
        <w:rPr>
          <w:color w:val="FF0000"/>
        </w:rPr>
        <w:t xml:space="preserve"> </w:t>
      </w:r>
    </w:p>
    <w:p w14:paraId="3D7D5B76" w14:textId="0674A8D9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A tarifa </w:t>
      </w:r>
      <w:r w:rsidR="001675D2" w:rsidRPr="00814772">
        <w:rPr>
          <w:color w:val="FF0000"/>
          <w:lang w:val="pt-BR"/>
        </w:rPr>
        <w:t>aplicada</w:t>
      </w:r>
      <w:r w:rsidRPr="00D5668C">
        <w:rPr>
          <w:lang w:val="pt-BR"/>
        </w:rPr>
        <w:t xml:space="preserve"> </w:t>
      </w:r>
      <w:r w:rsidR="001675D2" w:rsidRPr="00814772">
        <w:rPr>
          <w:color w:val="FF0000"/>
          <w:lang w:val="pt-BR"/>
        </w:rPr>
        <w:t>aos</w:t>
      </w:r>
      <w:r w:rsidRPr="00D5668C">
        <w:rPr>
          <w:lang w:val="pt-BR"/>
        </w:rPr>
        <w:t xml:space="preserve"> consumidores é composta por duas parcelas: Tarifas de Uso dos Sistemas de Distribuição</w:t>
      </w:r>
      <w:r w:rsidR="00BF7717">
        <w:rPr>
          <w:lang w:val="pt-BR"/>
        </w:rPr>
        <w:t xml:space="preserve"> </w:t>
      </w:r>
      <w:r w:rsidRPr="00D5668C">
        <w:rPr>
          <w:lang w:val="pt-BR"/>
        </w:rPr>
        <w:t>(TUSD) e Tarifa de Energia (TE) e seus Tributos.</w:t>
      </w:r>
    </w:p>
    <w:p w14:paraId="0D2A8102" w14:textId="447E4B3F" w:rsidR="00D5668C" w:rsidRDefault="001675D2" w:rsidP="00E00060">
      <w:pPr>
        <w:spacing w:line="276" w:lineRule="auto"/>
        <w:jc w:val="both"/>
        <w:rPr>
          <w:lang w:val="pt-BR"/>
        </w:rPr>
      </w:pPr>
      <w:r w:rsidRPr="00814772">
        <w:rPr>
          <w:color w:val="FF0000"/>
          <w:lang w:val="pt-BR"/>
        </w:rPr>
        <w:t xml:space="preserve">O ICMS é um tributo </w:t>
      </w:r>
      <w:r w:rsidR="00D5668C" w:rsidRPr="00D5668C">
        <w:rPr>
          <w:lang w:val="pt-BR"/>
        </w:rPr>
        <w:t>regulamentado pelos Estados, os quais estabelecem a isenção desse tributo sobre a energia injetada de formas distintas</w:t>
      </w:r>
      <w:r w:rsidR="00146D52">
        <w:rPr>
          <w:lang w:val="pt-BR"/>
        </w:rPr>
        <w:t>,</w:t>
      </w:r>
      <w:r w:rsidR="00BF7717">
        <w:rPr>
          <w:lang w:val="pt-BR"/>
        </w:rPr>
        <w:t xml:space="preserve"> </w:t>
      </w:r>
      <w:r w:rsidR="00146D52">
        <w:rPr>
          <w:lang w:val="pt-BR"/>
        </w:rPr>
        <w:t>conforme segue</w:t>
      </w:r>
      <w:r w:rsidR="00BF7717">
        <w:rPr>
          <w:lang w:val="pt-BR"/>
        </w:rPr>
        <w:t xml:space="preserve"> abaixo</w:t>
      </w:r>
      <w:r w:rsidR="00D5668C" w:rsidRPr="00D5668C">
        <w:rPr>
          <w:lang w:val="pt-BR"/>
        </w:rPr>
        <w:t>:</w:t>
      </w:r>
    </w:p>
    <w:p w14:paraId="70C39A6C" w14:textId="77777777" w:rsidR="002F475D" w:rsidRDefault="002F475D" w:rsidP="00E00060">
      <w:pPr>
        <w:spacing w:line="276" w:lineRule="auto"/>
        <w:jc w:val="both"/>
        <w:rPr>
          <w:lang w:val="pt-B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994"/>
        <w:gridCol w:w="561"/>
        <w:gridCol w:w="429"/>
        <w:gridCol w:w="636"/>
        <w:gridCol w:w="2202"/>
        <w:gridCol w:w="1174"/>
        <w:gridCol w:w="1704"/>
      </w:tblGrid>
      <w:tr w:rsidR="00827D50" w:rsidRPr="002F475D" w14:paraId="1334AE6D" w14:textId="77777777" w:rsidTr="00827D50">
        <w:trPr>
          <w:trHeight w:val="300"/>
        </w:trPr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32A3D39D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Estado</w:t>
            </w:r>
          </w:p>
        </w:tc>
        <w:tc>
          <w:tcPr>
            <w:tcW w:w="8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51F9F61E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Legislação Estadual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7D63ACB2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Potência</w:t>
            </w:r>
          </w:p>
        </w:tc>
        <w:tc>
          <w:tcPr>
            <w:tcW w:w="1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73E513A9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Modalidade Geração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363022EC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Tipo de Geração</w:t>
            </w:r>
          </w:p>
        </w:tc>
        <w:tc>
          <w:tcPr>
            <w:tcW w:w="9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6FB87A31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Isenção de ICMS</w:t>
            </w:r>
          </w:p>
        </w:tc>
      </w:tr>
      <w:tr w:rsidR="00827D50" w:rsidRPr="002F475D" w14:paraId="19FEC943" w14:textId="77777777" w:rsidTr="00827D50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4528D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Rio Grande do Sul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AFEBF4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Decreto 52.964/2016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FBA55E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03C3B0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Autoconsumo - Geração na própria UC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772E26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324144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TE</w:t>
            </w:r>
          </w:p>
        </w:tc>
      </w:tr>
      <w:tr w:rsidR="00827D50" w:rsidRPr="002F475D" w14:paraId="0B95C835" w14:textId="77777777" w:rsidTr="00827D50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BD6F8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Rio Grande do Sul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F2DACF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Decreto 52.964/2016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C11490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E983A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Autoconsumo Remoto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62C096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831A53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TE</w:t>
            </w:r>
          </w:p>
        </w:tc>
      </w:tr>
      <w:tr w:rsidR="00827D50" w:rsidRPr="002F475D" w14:paraId="56C3E9A3" w14:textId="77777777" w:rsidTr="00827D50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2E5BDE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Rio Grande do Sul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87197B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Decreto 52.964/2016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E9689C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5F1C36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 xml:space="preserve">Empreendimentos de Múltiplas </w:t>
            </w:r>
            <w:proofErr w:type="spellStart"/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Ucs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CA210D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62DCF7" w14:textId="77777777" w:rsidR="002F1CD5" w:rsidRPr="002F475D" w:rsidRDefault="002F1CD5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Sem Isenção</w:t>
            </w:r>
          </w:p>
        </w:tc>
      </w:tr>
      <w:tr w:rsidR="00C26CDA" w:rsidRPr="002F475D" w14:paraId="7AB2293B" w14:textId="77777777" w:rsidTr="002F475D">
        <w:trPr>
          <w:trHeight w:val="289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4E7005C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Rio Grande do Sul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D05A3B7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Decreto 52.964/2016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66523B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6DAED2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Geração Compartilhada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6D8A534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046798F" w14:textId="77777777" w:rsidR="00C26CDA" w:rsidRPr="002F475D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2F475D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Sem Isenção</w:t>
            </w:r>
          </w:p>
        </w:tc>
      </w:tr>
    </w:tbl>
    <w:p w14:paraId="1FE4A4D0" w14:textId="77777777" w:rsidR="00C26CDA" w:rsidRPr="002F475D" w:rsidRDefault="00C26CDA" w:rsidP="00E00060">
      <w:pPr>
        <w:spacing w:line="276" w:lineRule="auto"/>
        <w:jc w:val="both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998"/>
        <w:gridCol w:w="992"/>
        <w:gridCol w:w="2836"/>
        <w:gridCol w:w="1135"/>
        <w:gridCol w:w="1743"/>
      </w:tblGrid>
      <w:tr w:rsidR="00C26CDA" w:rsidRPr="00C26CDA" w14:paraId="3805E663" w14:textId="77777777" w:rsidTr="00827D50">
        <w:trPr>
          <w:trHeight w:val="300"/>
        </w:trPr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21937417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Estado</w:t>
            </w:r>
          </w:p>
        </w:tc>
        <w:tc>
          <w:tcPr>
            <w:tcW w:w="5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30D9567F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Legislação Estadual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1CD80C3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Potência</w:t>
            </w:r>
          </w:p>
        </w:tc>
        <w:tc>
          <w:tcPr>
            <w:tcW w:w="1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2758ADA3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Modalidade Geração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100A0708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Tipo de Geração</w:t>
            </w:r>
          </w:p>
        </w:tc>
        <w:tc>
          <w:tcPr>
            <w:tcW w:w="9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6BBC75F3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Isenção</w:t>
            </w:r>
            <w:r w:rsidR="00827D50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 xml:space="preserve"> Parcial</w:t>
            </w: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 xml:space="preserve"> de ICMS</w:t>
            </w:r>
          </w:p>
        </w:tc>
      </w:tr>
      <w:tr w:rsidR="00C26CDA" w:rsidRPr="00C26CDA" w14:paraId="3314FEF9" w14:textId="77777777" w:rsidTr="00827D50">
        <w:trPr>
          <w:trHeight w:val="300"/>
        </w:trPr>
        <w:tc>
          <w:tcPr>
            <w:tcW w:w="63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642839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São Paulo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67FEC0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Decreto 61.439/2015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A5091A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5B264E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Autoconsumo - Geração na própria UC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D93B8E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CE796C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TE</w:t>
            </w:r>
          </w:p>
        </w:tc>
      </w:tr>
      <w:tr w:rsidR="00C26CDA" w:rsidRPr="00C26CDA" w14:paraId="1E4CFD1E" w14:textId="77777777" w:rsidTr="00827D50">
        <w:trPr>
          <w:trHeight w:val="300"/>
        </w:trPr>
        <w:tc>
          <w:tcPr>
            <w:tcW w:w="63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866F06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São Paulo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5E077C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Decreto 61.439/2015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51CC68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B79A4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Autoconsumo Remoto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164378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2749F5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TE</w:t>
            </w:r>
          </w:p>
        </w:tc>
      </w:tr>
      <w:tr w:rsidR="00C26CDA" w:rsidRPr="00C26CDA" w14:paraId="61CBB780" w14:textId="77777777" w:rsidTr="00827D50">
        <w:trPr>
          <w:trHeight w:val="300"/>
        </w:trPr>
        <w:tc>
          <w:tcPr>
            <w:tcW w:w="63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973BD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São Paulo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DEAB8C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Decreto 61.439/2015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6805E9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B76C46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 xml:space="preserve">Empreendimentos de Múltiplas </w:t>
            </w:r>
            <w:proofErr w:type="spell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Ucs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C18ED9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91F75F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Sem Isenção</w:t>
            </w:r>
          </w:p>
        </w:tc>
      </w:tr>
      <w:tr w:rsidR="00C26CDA" w:rsidRPr="00C26CDA" w14:paraId="376F6586" w14:textId="77777777" w:rsidTr="00827D50">
        <w:trPr>
          <w:trHeight w:val="300"/>
        </w:trPr>
        <w:tc>
          <w:tcPr>
            <w:tcW w:w="63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4B87FC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São Paulo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ACAA4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Decreto 61.439/2015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0C8C67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7330F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Geração Compartilhada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29927A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E50EA3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Sem Isenção</w:t>
            </w:r>
          </w:p>
        </w:tc>
      </w:tr>
    </w:tbl>
    <w:p w14:paraId="47968525" w14:textId="77777777" w:rsidR="00C26CDA" w:rsidRPr="002F475D" w:rsidRDefault="00C26CDA" w:rsidP="00E00060">
      <w:pPr>
        <w:spacing w:line="276" w:lineRule="auto"/>
        <w:jc w:val="both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86"/>
        <w:gridCol w:w="999"/>
        <w:gridCol w:w="2834"/>
        <w:gridCol w:w="1123"/>
        <w:gridCol w:w="1757"/>
      </w:tblGrid>
      <w:tr w:rsidR="00C26CDA" w:rsidRPr="00C26CDA" w14:paraId="151860C1" w14:textId="77777777" w:rsidTr="00C26CDA">
        <w:trPr>
          <w:trHeight w:val="300"/>
        </w:trPr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747EB08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Estado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3B4663C9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Legislação Estadual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166EF9E7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Potência</w:t>
            </w:r>
          </w:p>
        </w:tc>
        <w:tc>
          <w:tcPr>
            <w:tcW w:w="1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3A75CB44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Modalidade Geração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5403B9F5" w14:textId="44717041" w:rsidR="00C26CDA" w:rsidRPr="00C26CDA" w:rsidRDefault="00C26CDA" w:rsidP="002F475D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Tipo</w:t>
            </w:r>
            <w:r w:rsidR="002F475D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 xml:space="preserve"> d</w:t>
            </w: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e Geração</w:t>
            </w:r>
          </w:p>
        </w:tc>
        <w:tc>
          <w:tcPr>
            <w:tcW w:w="9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2E01C61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Isenção de ICMS</w:t>
            </w:r>
          </w:p>
        </w:tc>
      </w:tr>
      <w:tr w:rsidR="00C26CDA" w:rsidRPr="00C26CDA" w14:paraId="154522BD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449923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Paraná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B3C96D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19.595/2018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434226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4D86B1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Autoconsumo - Geração na própria UC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351ACD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5216E6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TE</w:t>
            </w:r>
          </w:p>
        </w:tc>
      </w:tr>
      <w:tr w:rsidR="00C26CDA" w:rsidRPr="00C26CDA" w14:paraId="1B214587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52747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Paraná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49ED57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19.595/2018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22F7B9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865B3D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Autoconsumo Remoto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66DD46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437D0E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TE</w:t>
            </w:r>
          </w:p>
        </w:tc>
      </w:tr>
      <w:tr w:rsidR="00C26CDA" w:rsidRPr="00C26CDA" w14:paraId="391E5242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750270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Paraná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EB7DF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19.595/2018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B7F09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55591C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 xml:space="preserve">Empreendimentos de Múltiplas </w:t>
            </w:r>
            <w:proofErr w:type="spell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Ucs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483CAD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4C607D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Sem Isenção</w:t>
            </w:r>
          </w:p>
        </w:tc>
      </w:tr>
      <w:tr w:rsidR="00C26CDA" w:rsidRPr="00C26CDA" w14:paraId="620618B7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68651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Paraná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9BB12F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19.595/2018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E93728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F5E6A1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Geração Compartilhada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9D73F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proofErr w:type="gram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Todas fontes</w:t>
            </w:r>
            <w:proofErr w:type="gram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75F35D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Sem Isenção</w:t>
            </w:r>
          </w:p>
        </w:tc>
      </w:tr>
    </w:tbl>
    <w:p w14:paraId="1EEF0DD5" w14:textId="77777777" w:rsidR="00C26CDA" w:rsidRPr="002F475D" w:rsidRDefault="00C26CDA" w:rsidP="00E00060">
      <w:pPr>
        <w:spacing w:line="276" w:lineRule="auto"/>
        <w:jc w:val="both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000"/>
        <w:gridCol w:w="986"/>
        <w:gridCol w:w="2834"/>
        <w:gridCol w:w="1135"/>
        <w:gridCol w:w="1744"/>
      </w:tblGrid>
      <w:tr w:rsidR="00C26CDA" w:rsidRPr="00C26CDA" w14:paraId="20B32B38" w14:textId="77777777" w:rsidTr="00C26CDA">
        <w:trPr>
          <w:trHeight w:val="300"/>
        </w:trPr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53F266B1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Estado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155A64A0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Legislação Estadual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47D31D2D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Potência</w:t>
            </w:r>
          </w:p>
        </w:tc>
        <w:tc>
          <w:tcPr>
            <w:tcW w:w="1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09131307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Modalidade Geração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3BCDB88D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Tipo de Geração</w:t>
            </w:r>
          </w:p>
        </w:tc>
        <w:tc>
          <w:tcPr>
            <w:tcW w:w="9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496B0" w:themeFill="text2" w:themeFillTint="99"/>
            <w:vAlign w:val="center"/>
            <w:hideMark/>
          </w:tcPr>
          <w:p w14:paraId="5E2DDE39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FFFFFF"/>
                <w:sz w:val="16"/>
                <w:szCs w:val="18"/>
                <w:lang w:val="pt-BR" w:eastAsia="pt-BR"/>
              </w:rPr>
              <w:t>Isenção de ICMS</w:t>
            </w:r>
          </w:p>
        </w:tc>
      </w:tr>
      <w:tr w:rsidR="00C26CDA" w:rsidRPr="009A7243" w14:paraId="5193C15D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8DB626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Minas Gerais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918921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22.549/2017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4668BE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5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2D0BE0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Autoconsumo - Geração na própria UC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2D7BD3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Foto Voltaica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F4134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TUSD e TE</w:t>
            </w:r>
          </w:p>
        </w:tc>
      </w:tr>
      <w:tr w:rsidR="00C26CDA" w:rsidRPr="009A7243" w14:paraId="32BD8D41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6DE653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Minas Gerais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29DA51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22.549/2017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A918EF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5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2E7BEB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Autoconsumo Remoto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5499D9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Foto Voltaica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EEB80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TUSD e TE</w:t>
            </w:r>
          </w:p>
        </w:tc>
      </w:tr>
      <w:tr w:rsidR="00C26CDA" w:rsidRPr="009A7243" w14:paraId="6AA747E5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E0C4EA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Minas Gerais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EF17BB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22.549/2017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6E28CB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5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1FAEA4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 xml:space="preserve">Empreendimentos de Múltiplas </w:t>
            </w:r>
            <w:proofErr w:type="spell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Ucs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7B9A93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Foto Voltaica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E5EC4F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TUSD e TE</w:t>
            </w:r>
          </w:p>
        </w:tc>
      </w:tr>
      <w:tr w:rsidR="00C26CDA" w:rsidRPr="009A7243" w14:paraId="42395B54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7E1B0C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lastRenderedPageBreak/>
              <w:t>Minas Gerais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E062B1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22.549/2017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6F724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5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B40DED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Geração Compartilhada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86FB84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Foto Voltaica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6BB631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TUSD e TE</w:t>
            </w:r>
          </w:p>
        </w:tc>
      </w:tr>
      <w:tr w:rsidR="00C26CDA" w:rsidRPr="009A7243" w14:paraId="4BCA719B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18414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Minas Gerais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E4AF94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22.549/2017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30C96F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AC8D26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Autoconsumo - Geração na própria UC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AFE53D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Demais fontes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FA278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TUSD e TE</w:t>
            </w:r>
          </w:p>
        </w:tc>
      </w:tr>
      <w:tr w:rsidR="00C26CDA" w:rsidRPr="009A7243" w14:paraId="39C08FA4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7516CF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Minas Gerais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F8D254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22.549/2017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A98CCC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8B555D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Autoconsumo Remoto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568FCE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Demais fontes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D77C18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Energia Ativa Injetada TUSD e TE</w:t>
            </w:r>
          </w:p>
        </w:tc>
      </w:tr>
      <w:tr w:rsidR="00C26CDA" w:rsidRPr="00C26CDA" w14:paraId="063EB29C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536823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Minas Gerais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CECD39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22.549/2017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A3DAA0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06FA94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 xml:space="preserve">Empreendimentos de Múltiplas </w:t>
            </w:r>
            <w:proofErr w:type="spellStart"/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Ucs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C7BA10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Demais fontes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39B76E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Sem Isenção</w:t>
            </w:r>
          </w:p>
        </w:tc>
      </w:tr>
      <w:tr w:rsidR="00C26CDA" w:rsidRPr="00C26CDA" w14:paraId="5FF0D006" w14:textId="77777777" w:rsidTr="00C26CDA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56B9C4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Minas Gerais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21610B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Lei 22.549/2017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94B41C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Até 1 MWh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CE4E86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Geração Compartilhada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A70E92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Demais fontes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E6D11C" w14:textId="77777777" w:rsidR="00C26CDA" w:rsidRPr="00C26CDA" w:rsidRDefault="00C26CDA" w:rsidP="00E00060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</w:pPr>
            <w:r w:rsidRPr="00C26CDA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pt-BR" w:eastAsia="pt-BR"/>
              </w:rPr>
              <w:t>Sem Isenção</w:t>
            </w:r>
          </w:p>
        </w:tc>
      </w:tr>
    </w:tbl>
    <w:p w14:paraId="49A80509" w14:textId="42CD2994" w:rsidR="00D5668C" w:rsidRPr="00E57006" w:rsidRDefault="00D5668C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A beneficiária possui isenção de ICMS?</w:t>
      </w:r>
      <w:r w:rsidR="00351AAF">
        <w:rPr>
          <w:color w:val="FF0000"/>
        </w:rPr>
        <w:t xml:space="preserve"> </w:t>
      </w:r>
    </w:p>
    <w:p w14:paraId="4DD611BF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>Sim, desde que a beneficiária e a unidade geradora sejam do mesmo titular.</w:t>
      </w:r>
    </w:p>
    <w:p w14:paraId="2873A04F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 xml:space="preserve">Havendo a mesma titularidade as mesmas isenções concedidas a unidade geradora se aplicarão </w:t>
      </w:r>
      <w:r w:rsidR="00F9053E">
        <w:rPr>
          <w:lang w:val="pt-BR"/>
        </w:rPr>
        <w:t>à</w:t>
      </w:r>
      <w:r w:rsidRPr="00D5668C">
        <w:rPr>
          <w:lang w:val="pt-BR"/>
        </w:rPr>
        <w:t xml:space="preserve"> </w:t>
      </w:r>
      <w:r w:rsidR="00F9053E">
        <w:rPr>
          <w:lang w:val="pt-BR"/>
        </w:rPr>
        <w:t xml:space="preserve">unidade </w:t>
      </w:r>
      <w:r w:rsidRPr="00D5668C">
        <w:rPr>
          <w:lang w:val="pt-BR"/>
        </w:rPr>
        <w:t>beneficiária.</w:t>
      </w:r>
    </w:p>
    <w:p w14:paraId="76D9BAF5" w14:textId="53C0F12D" w:rsidR="00D5668C" w:rsidRPr="00FB70BA" w:rsidRDefault="00D57594" w:rsidP="00E00060">
      <w:pPr>
        <w:pStyle w:val="Heading1"/>
        <w:numPr>
          <w:ilvl w:val="0"/>
          <w:numId w:val="1"/>
        </w:numPr>
        <w:spacing w:line="276" w:lineRule="auto"/>
        <w:jc w:val="both"/>
      </w:pPr>
      <w:r w:rsidRPr="00FB70BA">
        <w:t xml:space="preserve">Como faço para </w:t>
      </w:r>
      <w:r w:rsidR="004D3998" w:rsidRPr="00FB70BA">
        <w:t>fornecer a</w:t>
      </w:r>
      <w:r w:rsidRPr="00FB70BA">
        <w:t xml:space="preserve"> auto</w:t>
      </w:r>
      <w:r w:rsidR="004D3998" w:rsidRPr="00FB70BA">
        <w:t>leitura</w:t>
      </w:r>
      <w:r w:rsidR="00D5668C" w:rsidRPr="00FB70BA">
        <w:t>?</w:t>
      </w:r>
      <w:r w:rsidR="00351AAF">
        <w:t xml:space="preserve"> </w:t>
      </w:r>
    </w:p>
    <w:p w14:paraId="19E6350E" w14:textId="77777777" w:rsidR="00D5668C" w:rsidRPr="00D5668C" w:rsidRDefault="00D57594" w:rsidP="00E00060">
      <w:pPr>
        <w:spacing w:line="276" w:lineRule="auto"/>
        <w:jc w:val="both"/>
        <w:rPr>
          <w:lang w:val="pt-BR"/>
        </w:rPr>
      </w:pPr>
      <w:r>
        <w:rPr>
          <w:lang w:val="pt-BR"/>
        </w:rPr>
        <w:t>O</w:t>
      </w:r>
      <w:r w:rsidR="00161627">
        <w:rPr>
          <w:lang w:val="pt-BR"/>
        </w:rPr>
        <w:t xml:space="preserve"> c</w:t>
      </w:r>
      <w:r w:rsidR="00D5668C" w:rsidRPr="00D5668C">
        <w:rPr>
          <w:lang w:val="pt-BR"/>
        </w:rPr>
        <w:t xml:space="preserve">liente poderá informar a leitura através de </w:t>
      </w:r>
      <w:r w:rsidR="00EC00A0">
        <w:rPr>
          <w:lang w:val="pt-BR"/>
        </w:rPr>
        <w:t xml:space="preserve">nossos canais de atendimento, pelo nosso aplicativo </w:t>
      </w:r>
      <w:r w:rsidR="00146D52">
        <w:rPr>
          <w:lang w:val="pt-BR"/>
        </w:rPr>
        <w:t>“</w:t>
      </w:r>
      <w:r w:rsidR="00EC00A0">
        <w:rPr>
          <w:lang w:val="pt-BR"/>
        </w:rPr>
        <w:t>CPFL Energia</w:t>
      </w:r>
      <w:r w:rsidR="00146D52">
        <w:rPr>
          <w:lang w:val="pt-BR"/>
        </w:rPr>
        <w:t>”</w:t>
      </w:r>
      <w:r w:rsidR="00EC00A0">
        <w:rPr>
          <w:lang w:val="pt-BR"/>
        </w:rPr>
        <w:t xml:space="preserve"> ou através de nossa agência virtual </w:t>
      </w:r>
      <w:hyperlink r:id="rId12" w:anchor="/home" w:history="1">
        <w:r w:rsidR="00EC00A0" w:rsidRPr="002D4DBE">
          <w:rPr>
            <w:rStyle w:val="Hyperlink"/>
            <w:lang w:val="pt-BR"/>
          </w:rPr>
          <w:t>https://servicosonline.cpfl.com.br/agencia-webapp/#/home</w:t>
        </w:r>
      </w:hyperlink>
      <w:r w:rsidR="00EC00A0">
        <w:rPr>
          <w:lang w:val="pt-BR"/>
        </w:rPr>
        <w:t xml:space="preserve"> .</w:t>
      </w:r>
    </w:p>
    <w:p w14:paraId="2F8E0ADE" w14:textId="77777777" w:rsidR="00D5668C" w:rsidRPr="00D5668C" w:rsidRDefault="00D5668C" w:rsidP="00E00060">
      <w:pPr>
        <w:spacing w:line="276" w:lineRule="auto"/>
        <w:jc w:val="both"/>
        <w:rPr>
          <w:lang w:val="pt-BR"/>
        </w:rPr>
      </w:pPr>
      <w:r w:rsidRPr="00D5668C">
        <w:rPr>
          <w:lang w:val="pt-BR"/>
        </w:rPr>
        <w:t>A data prevista para a próxima leitura consta informada no canto superior direito da conta de energia elétrica.</w:t>
      </w:r>
    </w:p>
    <w:p w14:paraId="7743A3A3" w14:textId="77777777" w:rsidR="00D5668C" w:rsidRPr="00EC00A0" w:rsidRDefault="00D5668C" w:rsidP="00E00060">
      <w:pPr>
        <w:spacing w:line="276" w:lineRule="auto"/>
        <w:jc w:val="both"/>
        <w:rPr>
          <w:lang w:val="pt-BR"/>
        </w:rPr>
      </w:pPr>
    </w:p>
    <w:p w14:paraId="78E99EDF" w14:textId="2BF12018" w:rsidR="00541131" w:rsidRDefault="00541131" w:rsidP="00E00060">
      <w:pPr>
        <w:pStyle w:val="Heading1"/>
        <w:numPr>
          <w:ilvl w:val="0"/>
          <w:numId w:val="1"/>
        </w:numPr>
        <w:spacing w:line="276" w:lineRule="auto"/>
        <w:jc w:val="both"/>
      </w:pPr>
      <w:r>
        <w:t>Unidade consumidora é participante do Ambiente de Contração Livre - ACL e deseja instalar um sistema de Micro/Minigeração. Qual o procedimento?</w:t>
      </w:r>
      <w:r w:rsidR="00351AAF">
        <w:t xml:space="preserve"> </w:t>
      </w:r>
    </w:p>
    <w:p w14:paraId="2626E7ED" w14:textId="46AFCF39" w:rsidR="00D5668C" w:rsidRPr="00D5668C" w:rsidRDefault="00541131" w:rsidP="00E00060">
      <w:pPr>
        <w:spacing w:line="276" w:lineRule="auto"/>
        <w:jc w:val="both"/>
        <w:rPr>
          <w:lang w:val="pt-BR"/>
        </w:rPr>
      </w:pPr>
      <w:r>
        <w:rPr>
          <w:lang w:val="pt-BR"/>
        </w:rPr>
        <w:t>O sistema de micro e minigeração distribuída não se aplica as instalações de clientes livres, parcialmente livres ou especiais, conforme estabelece a Resolução</w:t>
      </w:r>
      <w:r w:rsidR="00B22DDB">
        <w:rPr>
          <w:lang w:val="pt-BR"/>
        </w:rPr>
        <w:t xml:space="preserve"> Normativa da ANEEL nº 482/2012.</w:t>
      </w:r>
    </w:p>
    <w:sectPr w:rsidR="00D5668C" w:rsidRPr="00D5668C" w:rsidSect="005400AE">
      <w:headerReference w:type="default" r:id="rId13"/>
      <w:footerReference w:type="default" r:id="rId14"/>
      <w:pgSz w:w="11900" w:h="16840"/>
      <w:pgMar w:top="2835" w:right="1531" w:bottom="2268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CF5B7" w14:textId="77777777" w:rsidR="00441C23" w:rsidRDefault="00441C23" w:rsidP="00303D4E">
      <w:r>
        <w:separator/>
      </w:r>
    </w:p>
  </w:endnote>
  <w:endnote w:type="continuationSeparator" w:id="0">
    <w:p w14:paraId="38066F62" w14:textId="77777777" w:rsidR="00441C23" w:rsidRDefault="00441C23" w:rsidP="0030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AA25" w14:textId="77777777" w:rsidR="00EE16D1" w:rsidRDefault="00EE16D1" w:rsidP="00303D4E">
    <w:pPr>
      <w:pStyle w:val="Footer"/>
      <w:ind w:left="-1531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7F946" wp14:editId="6342E54B">
              <wp:simplePos x="0" y="0"/>
              <wp:positionH relativeFrom="column">
                <wp:posOffset>2050415</wp:posOffset>
              </wp:positionH>
              <wp:positionV relativeFrom="paragraph">
                <wp:posOffset>255905</wp:posOffset>
              </wp:positionV>
              <wp:extent cx="3810000" cy="7493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80C4AC" w14:textId="77777777" w:rsidR="00EE16D1" w:rsidRPr="002F2CA7" w:rsidRDefault="00EE16D1" w:rsidP="002F2CA7">
                          <w:pPr>
                            <w:jc w:val="right"/>
                            <w:rPr>
                              <w:rFonts w:ascii="Tahoma" w:eastAsia="Times New Roman" w:hAnsi="Tahoma" w:cs="Tahoma"/>
                              <w:color w:val="0094C8"/>
                              <w:sz w:val="15"/>
                              <w:szCs w:val="15"/>
                              <w:lang w:val="pt-BR" w:eastAsia="pt-BR"/>
                            </w:rPr>
                          </w:pPr>
                          <w:r w:rsidRPr="002F2CA7">
                            <w:rPr>
                              <w:rFonts w:ascii="Tahoma" w:eastAsia="Times New Roman" w:hAnsi="Tahoma" w:cs="Tahoma"/>
                              <w:color w:val="0094C8"/>
                              <w:sz w:val="15"/>
                              <w:szCs w:val="15"/>
                              <w:lang w:val="pt-BR" w:eastAsia="pt-BR"/>
                            </w:rPr>
                            <w:t>Rod. Engenheiro Miguel Noel Nascentes Burnier • 1755 • Km 2,5</w:t>
                          </w:r>
                        </w:p>
                        <w:p w14:paraId="5305D346" w14:textId="77777777" w:rsidR="00EE16D1" w:rsidRDefault="00EE16D1" w:rsidP="002F2CA7">
                          <w:pPr>
                            <w:jc w:val="right"/>
                            <w:rPr>
                              <w:rFonts w:ascii="Tahoma" w:eastAsia="Times New Roman" w:hAnsi="Tahoma" w:cs="Tahoma"/>
                              <w:color w:val="0094C8"/>
                              <w:sz w:val="15"/>
                              <w:szCs w:val="15"/>
                              <w:lang w:val="pt-BR" w:eastAsia="pt-BR"/>
                            </w:rPr>
                          </w:pPr>
                          <w:r w:rsidRPr="002F2CA7">
                            <w:rPr>
                              <w:rFonts w:ascii="Tahoma" w:eastAsia="Times New Roman" w:hAnsi="Tahoma" w:cs="Tahoma"/>
                              <w:color w:val="0094C8"/>
                              <w:sz w:val="15"/>
                              <w:szCs w:val="15"/>
                              <w:lang w:val="pt-BR" w:eastAsia="pt-BR"/>
                            </w:rPr>
                            <w:t>Parque São Quirino • Campinas • SP • 13088-140</w:t>
                          </w:r>
                        </w:p>
                        <w:p w14:paraId="218707A3" w14:textId="77777777" w:rsidR="00EE16D1" w:rsidRPr="00185139" w:rsidRDefault="00EE16D1" w:rsidP="002F2CA7">
                          <w:pPr>
                            <w:jc w:val="right"/>
                            <w:rPr>
                              <w:rFonts w:ascii="Tahoma" w:eastAsia="Times New Roman" w:hAnsi="Tahoma" w:cs="Tahoma"/>
                              <w:color w:val="0094C8"/>
                              <w:sz w:val="15"/>
                              <w:szCs w:val="15"/>
                              <w:lang w:val="pt-BR" w:eastAsia="pt-BR"/>
                            </w:rPr>
                          </w:pPr>
                          <w:r w:rsidRPr="00185139">
                            <w:rPr>
                              <w:rFonts w:ascii="Tahoma" w:eastAsia="Times New Roman" w:hAnsi="Tahoma" w:cs="Tahoma"/>
                              <w:color w:val="0094C8"/>
                              <w:sz w:val="15"/>
                              <w:szCs w:val="15"/>
                              <w:lang w:val="pt-BR" w:eastAsia="pt-BR"/>
                            </w:rPr>
                            <w:t>www.cpfl.com.br</w:t>
                          </w:r>
                        </w:p>
                        <w:p w14:paraId="543CBE92" w14:textId="77777777" w:rsidR="00EE16D1" w:rsidRPr="00185139" w:rsidRDefault="00EE16D1" w:rsidP="00185139">
                          <w:pPr>
                            <w:jc w:val="right"/>
                            <w:rPr>
                              <w:rFonts w:ascii="Tahoma" w:hAnsi="Tahoma" w:cs="Tahoma"/>
                              <w:color w:val="0094C8"/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7F94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61.45pt;margin-top:20.15pt;width:300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" filled="f" stroked="f" strokeweight=".5pt">
              <v:textbox>
                <w:txbxContent>
                  <w:p w14:paraId="5C80C4AC" w14:textId="77777777" w:rsidR="00EE16D1" w:rsidRPr="002F2CA7" w:rsidRDefault="00EE16D1" w:rsidP="002F2CA7">
                    <w:pPr>
                      <w:jc w:val="right"/>
                      <w:rPr>
                        <w:rFonts w:ascii="Tahoma" w:eastAsia="Times New Roman" w:hAnsi="Tahoma" w:cs="Tahoma"/>
                        <w:color w:val="0094C8"/>
                        <w:sz w:val="15"/>
                        <w:szCs w:val="15"/>
                        <w:lang w:val="pt-BR" w:eastAsia="pt-BR"/>
                      </w:rPr>
                    </w:pPr>
                    <w:r w:rsidRPr="002F2CA7">
                      <w:rPr>
                        <w:rFonts w:ascii="Tahoma" w:eastAsia="Times New Roman" w:hAnsi="Tahoma" w:cs="Tahoma"/>
                        <w:color w:val="0094C8"/>
                        <w:sz w:val="15"/>
                        <w:szCs w:val="15"/>
                        <w:lang w:val="pt-BR" w:eastAsia="pt-BR"/>
                      </w:rPr>
                      <w:t>Rod. Engenheiro Miguel Noel Nascentes Burnier • 1755 • Km 2,5</w:t>
                    </w:r>
                  </w:p>
                  <w:p w14:paraId="5305D346" w14:textId="77777777" w:rsidR="00EE16D1" w:rsidRDefault="00EE16D1" w:rsidP="002F2CA7">
                    <w:pPr>
                      <w:jc w:val="right"/>
                      <w:rPr>
                        <w:rFonts w:ascii="Tahoma" w:eastAsia="Times New Roman" w:hAnsi="Tahoma" w:cs="Tahoma"/>
                        <w:color w:val="0094C8"/>
                        <w:sz w:val="15"/>
                        <w:szCs w:val="15"/>
                        <w:lang w:val="pt-BR" w:eastAsia="pt-BR"/>
                      </w:rPr>
                    </w:pPr>
                    <w:r w:rsidRPr="002F2CA7">
                      <w:rPr>
                        <w:rFonts w:ascii="Tahoma" w:eastAsia="Times New Roman" w:hAnsi="Tahoma" w:cs="Tahoma"/>
                        <w:color w:val="0094C8"/>
                        <w:sz w:val="15"/>
                        <w:szCs w:val="15"/>
                        <w:lang w:val="pt-BR" w:eastAsia="pt-BR"/>
                      </w:rPr>
                      <w:t>Parque São Quirino • Campinas • SP • 13088-140</w:t>
                    </w:r>
                  </w:p>
                  <w:p w14:paraId="218707A3" w14:textId="77777777" w:rsidR="00EE16D1" w:rsidRPr="00185139" w:rsidRDefault="00EE16D1" w:rsidP="002F2CA7">
                    <w:pPr>
                      <w:jc w:val="right"/>
                      <w:rPr>
                        <w:rFonts w:ascii="Tahoma" w:eastAsia="Times New Roman" w:hAnsi="Tahoma" w:cs="Tahoma"/>
                        <w:color w:val="0094C8"/>
                        <w:sz w:val="15"/>
                        <w:szCs w:val="15"/>
                        <w:lang w:val="pt-BR" w:eastAsia="pt-BR"/>
                      </w:rPr>
                    </w:pPr>
                    <w:r w:rsidRPr="00185139">
                      <w:rPr>
                        <w:rFonts w:ascii="Tahoma" w:eastAsia="Times New Roman" w:hAnsi="Tahoma" w:cs="Tahoma"/>
                        <w:color w:val="0094C8"/>
                        <w:sz w:val="15"/>
                        <w:szCs w:val="15"/>
                        <w:lang w:val="pt-BR" w:eastAsia="pt-BR"/>
                      </w:rPr>
                      <w:t>www.cpfl.com.br</w:t>
                    </w:r>
                  </w:p>
                  <w:p w14:paraId="543CBE92" w14:textId="77777777" w:rsidR="00EE16D1" w:rsidRPr="00185139" w:rsidRDefault="00EE16D1" w:rsidP="00185139">
                    <w:pPr>
                      <w:jc w:val="right"/>
                      <w:rPr>
                        <w:rFonts w:ascii="Tahoma" w:hAnsi="Tahoma" w:cs="Tahoma"/>
                        <w:color w:val="0094C8"/>
                        <w:sz w:val="15"/>
                        <w:szCs w:val="15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1863598C" wp14:editId="366F0788">
          <wp:extent cx="7575920" cy="1170824"/>
          <wp:effectExtent l="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Carta_Pranchet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20" cy="1170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6E64" w14:textId="77777777" w:rsidR="00441C23" w:rsidRDefault="00441C23" w:rsidP="00303D4E">
      <w:r>
        <w:separator/>
      </w:r>
    </w:p>
  </w:footnote>
  <w:footnote w:type="continuationSeparator" w:id="0">
    <w:p w14:paraId="66811BEE" w14:textId="77777777" w:rsidR="00441C23" w:rsidRDefault="00441C23" w:rsidP="0030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31AD" w14:textId="5A63D69A" w:rsidR="00EE16D1" w:rsidRDefault="00EE16D1" w:rsidP="00303D4E">
    <w:pPr>
      <w:pStyle w:val="Header"/>
      <w:ind w:hanging="1531"/>
    </w:pPr>
    <w:r>
      <w:rPr>
        <w:noProof/>
        <w:lang w:val="pt-BR" w:eastAsia="pt-BR"/>
      </w:rPr>
      <w:drawing>
        <wp:inline distT="0" distB="0" distL="0" distR="0" wp14:anchorId="5AD17B0F" wp14:editId="316AD5C7">
          <wp:extent cx="7812741" cy="1297753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Cart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741" cy="129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7E93"/>
    <w:multiLevelType w:val="multilevel"/>
    <w:tmpl w:val="CD06E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7D3C84"/>
    <w:multiLevelType w:val="hybridMultilevel"/>
    <w:tmpl w:val="B39E67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676B7"/>
    <w:multiLevelType w:val="hybridMultilevel"/>
    <w:tmpl w:val="1E702FBA"/>
    <w:lvl w:ilvl="0" w:tplc="CED4535A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203"/>
    <w:multiLevelType w:val="hybridMultilevel"/>
    <w:tmpl w:val="C4522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664D"/>
    <w:multiLevelType w:val="hybridMultilevel"/>
    <w:tmpl w:val="537400F6"/>
    <w:lvl w:ilvl="0" w:tplc="3AF2B2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4E"/>
    <w:rsid w:val="00002010"/>
    <w:rsid w:val="00013043"/>
    <w:rsid w:val="00023117"/>
    <w:rsid w:val="000233CB"/>
    <w:rsid w:val="00027A45"/>
    <w:rsid w:val="000452C6"/>
    <w:rsid w:val="00053AB6"/>
    <w:rsid w:val="00057C62"/>
    <w:rsid w:val="0006264A"/>
    <w:rsid w:val="00071B46"/>
    <w:rsid w:val="00074770"/>
    <w:rsid w:val="00090386"/>
    <w:rsid w:val="000973E0"/>
    <w:rsid w:val="00097BEC"/>
    <w:rsid w:val="000B005B"/>
    <w:rsid w:val="000B34C5"/>
    <w:rsid w:val="000B3F3D"/>
    <w:rsid w:val="000C4ABB"/>
    <w:rsid w:val="000D1CF6"/>
    <w:rsid w:val="000D5206"/>
    <w:rsid w:val="000F6656"/>
    <w:rsid w:val="0013226A"/>
    <w:rsid w:val="00134DF4"/>
    <w:rsid w:val="00146D52"/>
    <w:rsid w:val="00146F80"/>
    <w:rsid w:val="00161627"/>
    <w:rsid w:val="0016519E"/>
    <w:rsid w:val="001675D2"/>
    <w:rsid w:val="00185139"/>
    <w:rsid w:val="001906BA"/>
    <w:rsid w:val="001D4BA0"/>
    <w:rsid w:val="001E568C"/>
    <w:rsid w:val="00227705"/>
    <w:rsid w:val="0026768C"/>
    <w:rsid w:val="0027236D"/>
    <w:rsid w:val="002B4561"/>
    <w:rsid w:val="002D3341"/>
    <w:rsid w:val="002F1CD5"/>
    <w:rsid w:val="002F2CA7"/>
    <w:rsid w:val="002F475D"/>
    <w:rsid w:val="00301655"/>
    <w:rsid w:val="00303D4E"/>
    <w:rsid w:val="003112B7"/>
    <w:rsid w:val="003167F1"/>
    <w:rsid w:val="00324A10"/>
    <w:rsid w:val="0032613D"/>
    <w:rsid w:val="00327AD9"/>
    <w:rsid w:val="00342123"/>
    <w:rsid w:val="00351AAF"/>
    <w:rsid w:val="0035251F"/>
    <w:rsid w:val="0035686D"/>
    <w:rsid w:val="00361C59"/>
    <w:rsid w:val="00367C85"/>
    <w:rsid w:val="003809D0"/>
    <w:rsid w:val="00392706"/>
    <w:rsid w:val="003B2A58"/>
    <w:rsid w:val="003B5292"/>
    <w:rsid w:val="003C04B7"/>
    <w:rsid w:val="003D4F3A"/>
    <w:rsid w:val="003E1754"/>
    <w:rsid w:val="003E3FD7"/>
    <w:rsid w:val="00403B6C"/>
    <w:rsid w:val="00404098"/>
    <w:rsid w:val="00423229"/>
    <w:rsid w:val="00441C23"/>
    <w:rsid w:val="004523EF"/>
    <w:rsid w:val="004619E4"/>
    <w:rsid w:val="004625F7"/>
    <w:rsid w:val="0046647E"/>
    <w:rsid w:val="0047086A"/>
    <w:rsid w:val="00485F20"/>
    <w:rsid w:val="004C6CAD"/>
    <w:rsid w:val="004D3998"/>
    <w:rsid w:val="00505C2A"/>
    <w:rsid w:val="00507F73"/>
    <w:rsid w:val="00513F6B"/>
    <w:rsid w:val="00516DBF"/>
    <w:rsid w:val="00526B7C"/>
    <w:rsid w:val="005349B1"/>
    <w:rsid w:val="005400AE"/>
    <w:rsid w:val="00541131"/>
    <w:rsid w:val="0054306E"/>
    <w:rsid w:val="00574DF8"/>
    <w:rsid w:val="00582894"/>
    <w:rsid w:val="0061592A"/>
    <w:rsid w:val="00616D41"/>
    <w:rsid w:val="00621A26"/>
    <w:rsid w:val="00625507"/>
    <w:rsid w:val="006335AD"/>
    <w:rsid w:val="006426F1"/>
    <w:rsid w:val="00680AD8"/>
    <w:rsid w:val="006C15DC"/>
    <w:rsid w:val="006D3236"/>
    <w:rsid w:val="006E1B24"/>
    <w:rsid w:val="006E2A73"/>
    <w:rsid w:val="006E4A3D"/>
    <w:rsid w:val="00707AEF"/>
    <w:rsid w:val="00707B44"/>
    <w:rsid w:val="0076604A"/>
    <w:rsid w:val="00770B4E"/>
    <w:rsid w:val="00782119"/>
    <w:rsid w:val="00783FF3"/>
    <w:rsid w:val="007842B3"/>
    <w:rsid w:val="007B75D8"/>
    <w:rsid w:val="007E6A84"/>
    <w:rsid w:val="007F78EF"/>
    <w:rsid w:val="00814772"/>
    <w:rsid w:val="008178F2"/>
    <w:rsid w:val="00827D50"/>
    <w:rsid w:val="00857E4F"/>
    <w:rsid w:val="00867CD1"/>
    <w:rsid w:val="00872B7C"/>
    <w:rsid w:val="00873C89"/>
    <w:rsid w:val="00880989"/>
    <w:rsid w:val="008D1684"/>
    <w:rsid w:val="008E53F3"/>
    <w:rsid w:val="00902762"/>
    <w:rsid w:val="00913D0C"/>
    <w:rsid w:val="009410AE"/>
    <w:rsid w:val="009461C7"/>
    <w:rsid w:val="00957BBC"/>
    <w:rsid w:val="009606A3"/>
    <w:rsid w:val="0098784A"/>
    <w:rsid w:val="0099163A"/>
    <w:rsid w:val="009A7243"/>
    <w:rsid w:val="009B7F94"/>
    <w:rsid w:val="009C4090"/>
    <w:rsid w:val="009D6251"/>
    <w:rsid w:val="009E442C"/>
    <w:rsid w:val="009E5DBB"/>
    <w:rsid w:val="009F092C"/>
    <w:rsid w:val="00A03CDE"/>
    <w:rsid w:val="00A05D7B"/>
    <w:rsid w:val="00A45231"/>
    <w:rsid w:val="00A5787D"/>
    <w:rsid w:val="00A72EA6"/>
    <w:rsid w:val="00A739C5"/>
    <w:rsid w:val="00A9232A"/>
    <w:rsid w:val="00AB4A6B"/>
    <w:rsid w:val="00AF277C"/>
    <w:rsid w:val="00B06F7E"/>
    <w:rsid w:val="00B22DDB"/>
    <w:rsid w:val="00B46B9B"/>
    <w:rsid w:val="00BC3689"/>
    <w:rsid w:val="00BD02EE"/>
    <w:rsid w:val="00BF1F80"/>
    <w:rsid w:val="00BF2F3B"/>
    <w:rsid w:val="00BF7717"/>
    <w:rsid w:val="00C00ACD"/>
    <w:rsid w:val="00C1112C"/>
    <w:rsid w:val="00C15748"/>
    <w:rsid w:val="00C26CDA"/>
    <w:rsid w:val="00C323DB"/>
    <w:rsid w:val="00C426D4"/>
    <w:rsid w:val="00C45B16"/>
    <w:rsid w:val="00C514BF"/>
    <w:rsid w:val="00C60222"/>
    <w:rsid w:val="00C722F1"/>
    <w:rsid w:val="00CA4CB4"/>
    <w:rsid w:val="00CB29E2"/>
    <w:rsid w:val="00CC093F"/>
    <w:rsid w:val="00CC3CA9"/>
    <w:rsid w:val="00CD1E70"/>
    <w:rsid w:val="00CD4597"/>
    <w:rsid w:val="00CD4E88"/>
    <w:rsid w:val="00CE2303"/>
    <w:rsid w:val="00D12FC7"/>
    <w:rsid w:val="00D43953"/>
    <w:rsid w:val="00D5668C"/>
    <w:rsid w:val="00D57594"/>
    <w:rsid w:val="00D62D53"/>
    <w:rsid w:val="00D63AFF"/>
    <w:rsid w:val="00D75B9A"/>
    <w:rsid w:val="00D81086"/>
    <w:rsid w:val="00D856FD"/>
    <w:rsid w:val="00D97DDA"/>
    <w:rsid w:val="00DD174A"/>
    <w:rsid w:val="00DE75A5"/>
    <w:rsid w:val="00E00060"/>
    <w:rsid w:val="00E006FD"/>
    <w:rsid w:val="00E12CCE"/>
    <w:rsid w:val="00E211EB"/>
    <w:rsid w:val="00E223D7"/>
    <w:rsid w:val="00E738D5"/>
    <w:rsid w:val="00E761E8"/>
    <w:rsid w:val="00EA6EB1"/>
    <w:rsid w:val="00EB6A50"/>
    <w:rsid w:val="00EC00A0"/>
    <w:rsid w:val="00EE16D1"/>
    <w:rsid w:val="00EE30BD"/>
    <w:rsid w:val="00EE3E06"/>
    <w:rsid w:val="00EE6DA9"/>
    <w:rsid w:val="00EF7456"/>
    <w:rsid w:val="00F20408"/>
    <w:rsid w:val="00F23539"/>
    <w:rsid w:val="00F455C7"/>
    <w:rsid w:val="00F55504"/>
    <w:rsid w:val="00F6627D"/>
    <w:rsid w:val="00F9053E"/>
    <w:rsid w:val="00F90B4C"/>
    <w:rsid w:val="00FA7FBC"/>
    <w:rsid w:val="00FB2609"/>
    <w:rsid w:val="00FB70BA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4B2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6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4E"/>
  </w:style>
  <w:style w:type="paragraph" w:styleId="Footer">
    <w:name w:val="footer"/>
    <w:basedOn w:val="Normal"/>
    <w:link w:val="FooterChar"/>
    <w:uiPriority w:val="99"/>
    <w:unhideWhenUsed/>
    <w:rsid w:val="00303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D4E"/>
  </w:style>
  <w:style w:type="paragraph" w:styleId="BalloonText">
    <w:name w:val="Balloon Text"/>
    <w:basedOn w:val="Normal"/>
    <w:link w:val="BalloonTextChar"/>
    <w:uiPriority w:val="99"/>
    <w:semiHidden/>
    <w:unhideWhenUsed/>
    <w:rsid w:val="003E17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5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85139"/>
  </w:style>
  <w:style w:type="character" w:styleId="Hyperlink">
    <w:name w:val="Hyperlink"/>
    <w:basedOn w:val="DefaultParagraphFont"/>
    <w:uiPriority w:val="99"/>
    <w:unhideWhenUsed/>
    <w:rsid w:val="001851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66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  <w:style w:type="paragraph" w:styleId="ListParagraph">
    <w:name w:val="List Paragraph"/>
    <w:basedOn w:val="Normal"/>
    <w:uiPriority w:val="34"/>
    <w:qFormat/>
    <w:rsid w:val="00D5668C"/>
    <w:pPr>
      <w:spacing w:after="160" w:line="259" w:lineRule="auto"/>
      <w:ind w:left="720"/>
      <w:contextualSpacing/>
    </w:pPr>
    <w:rPr>
      <w:sz w:val="22"/>
      <w:szCs w:val="22"/>
      <w:lang w:val="pt-BR"/>
    </w:rPr>
  </w:style>
  <w:style w:type="character" w:styleId="Strong">
    <w:name w:val="Strong"/>
    <w:basedOn w:val="DefaultParagraphFont"/>
    <w:uiPriority w:val="22"/>
    <w:qFormat/>
    <w:rsid w:val="00D5668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2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F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26F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6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rvicosonline.cpfl.com.br/agencia-webap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127FDC0142044D8AA745284C1A0A21" ma:contentTypeVersion="3" ma:contentTypeDescription="Crie um novo documento." ma:contentTypeScope="" ma:versionID="beb1ae276b6af6b53fb83137cc59f0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871316-5510-4B76-AB6F-34BBF40FC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E7633-CC0D-411D-AC08-CDA4321E9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B89DD-932B-4EBC-83B1-B96C651AAD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5E643C-D911-4F35-BA67-067898BF51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3046</Words>
  <Characters>16451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de Carta CPFL Energia</vt:lpstr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de Carta CPFL Energia</dc:title>
  <dc:subject/>
  <dc:creator>Microsoft Office User</dc:creator>
  <cp:keywords/>
  <dc:description/>
  <cp:lastModifiedBy>Camila Sacchis</cp:lastModifiedBy>
  <cp:revision>2</cp:revision>
  <dcterms:created xsi:type="dcterms:W3CDTF">2022-05-17T20:31:00Z</dcterms:created>
  <dcterms:modified xsi:type="dcterms:W3CDTF">2022-05-17T20:31:00Z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0x010100CC127FDC0142044D8AA745284C1A0A21</vt:lpwstr>
  </property>
  <property fmtid="{D5CDD505-2E9C-101B-9397-08002B2CF9AE}" pid="3" name="MSIP_Label_022f19bc-c0ef-436a-be43-be1adb274cf3_Enabled">
    <vt:lpwstr>true</vt:lpwstr>
  </property>
  <property fmtid="{D5CDD505-2E9C-101B-9397-08002B2CF9AE}" pid="4" name="MSIP_Label_022f19bc-c0ef-436a-be43-be1adb274cf3_SetDate">
    <vt:lpwstr>2022-05-13T17:35:36Z</vt:lpwstr>
  </property>
  <property fmtid="{D5CDD505-2E9C-101B-9397-08002B2CF9AE}" pid="5" name="MSIP_Label_022f19bc-c0ef-436a-be43-be1adb274cf3_Method">
    <vt:lpwstr>Standard</vt:lpwstr>
  </property>
  <property fmtid="{D5CDD505-2E9C-101B-9397-08002B2CF9AE}" pid="6" name="MSIP_Label_022f19bc-c0ef-436a-be43-be1adb274cf3_Name">
    <vt:lpwstr>Interno</vt:lpwstr>
  </property>
  <property fmtid="{D5CDD505-2E9C-101B-9397-08002B2CF9AE}" pid="7" name="MSIP_Label_022f19bc-c0ef-436a-be43-be1adb274cf3_SiteId">
    <vt:lpwstr>93546618-e20a-4fd3-a884-9e33ca7234a7</vt:lpwstr>
  </property>
  <property fmtid="{D5CDD505-2E9C-101B-9397-08002B2CF9AE}" pid="8" name="MSIP_Label_022f19bc-c0ef-436a-be43-be1adb274cf3_ActionId">
    <vt:lpwstr>f3357e20-a76c-42fd-bd03-b7bdca8f2aef</vt:lpwstr>
  </property>
  <property fmtid="{D5CDD505-2E9C-101B-9397-08002B2CF9AE}" pid="9" name="MSIP_Label_022f19bc-c0ef-436a-be43-be1adb274cf3_ContentBits">
    <vt:lpwstr>1</vt:lpwstr>
  </property>
</Properties>
</file>